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05" w:rsidRDefault="00AD3F05" w:rsidP="00AD3F05">
      <w:pPr>
        <w:jc w:val="center"/>
      </w:pPr>
      <w:bookmarkStart w:id="0" w:name="_GoBack"/>
      <w:bookmarkEnd w:id="0"/>
      <w:r>
        <w:rPr>
          <w:rFonts w:ascii="Arial" w:hAnsi="Arial" w:cs="Arial"/>
          <w:b/>
          <w:color w:val="7030A0"/>
          <w:sz w:val="24"/>
          <w:szCs w:val="24"/>
        </w:rPr>
        <w:t>Инвестиционная программа предприятия</w:t>
      </w:r>
    </w:p>
    <w:p w:rsidR="00AD3F05" w:rsidRDefault="00AD3F05" w:rsidP="00AD3F05">
      <w:pPr>
        <w:shd w:val="clear" w:color="auto" w:fill="FFFFFF"/>
        <w:spacing w:line="293" w:lineRule="exact"/>
        <w:ind w:left="7090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AD3F05" w:rsidRDefault="00AD3F05" w:rsidP="00AD3F05">
      <w:pPr>
        <w:shd w:val="clear" w:color="auto" w:fill="FFFFFF"/>
        <w:spacing w:line="293" w:lineRule="exact"/>
        <w:ind w:left="7090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AD3F05" w:rsidRPr="00BC5FE6" w:rsidRDefault="00AD3F05" w:rsidP="00AD3F05">
      <w:pPr>
        <w:shd w:val="clear" w:color="auto" w:fill="FFFFFF"/>
        <w:spacing w:line="293" w:lineRule="exact"/>
        <w:ind w:left="7090"/>
        <w:rPr>
          <w:b/>
          <w:sz w:val="24"/>
          <w:szCs w:val="24"/>
        </w:rPr>
      </w:pPr>
      <w:r w:rsidRPr="00BC5FE6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Приложение № 3 к Решению Собрания </w:t>
      </w:r>
      <w:r w:rsidRPr="00BC5FE6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депутатов МО «Котлас» </w:t>
      </w:r>
      <w:r w:rsidRPr="00BC5FE6">
        <w:rPr>
          <w:rFonts w:ascii="Times New Roman" w:eastAsia="Times New Roman" w:hAnsi="Times New Roman"/>
          <w:b/>
          <w:sz w:val="24"/>
          <w:szCs w:val="24"/>
        </w:rPr>
        <w:t>от «25» июня 2009 г. № 65-р</w:t>
      </w:r>
    </w:p>
    <w:p w:rsidR="00AD3F05" w:rsidRDefault="00AD3F05" w:rsidP="00AD3F05">
      <w:pPr>
        <w:ind w:left="6946"/>
        <w:jc w:val="center"/>
        <w:rPr>
          <w:b/>
          <w:sz w:val="28"/>
          <w:szCs w:val="28"/>
        </w:rPr>
      </w:pPr>
      <w:r>
        <w:rPr>
          <w:b/>
        </w:rPr>
        <w:t xml:space="preserve">(в редакции решения </w:t>
      </w:r>
      <w:proofErr w:type="spellStart"/>
      <w:r>
        <w:rPr>
          <w:b/>
        </w:rPr>
        <w:t>Собраниядепутатов</w:t>
      </w:r>
      <w:proofErr w:type="spellEnd"/>
      <w:r>
        <w:rPr>
          <w:b/>
        </w:rPr>
        <w:t xml:space="preserve"> МО «Котлас» от 18 февраля 2010 г. № 89-186-р)</w:t>
      </w:r>
      <w:r w:rsidRPr="00630D03">
        <w:rPr>
          <w:b/>
        </w:rPr>
        <w:tab/>
      </w:r>
      <w:r w:rsidRPr="00630D03">
        <w:rPr>
          <w:b/>
        </w:rPr>
        <w:tab/>
      </w:r>
      <w:r w:rsidRPr="00630D03">
        <w:rPr>
          <w:b/>
        </w:rPr>
        <w:tab/>
      </w:r>
      <w:r w:rsidRPr="00630D03">
        <w:rPr>
          <w:b/>
        </w:rPr>
        <w:tab/>
      </w:r>
    </w:p>
    <w:p w:rsidR="00AD3F05" w:rsidRPr="00BC5FE6" w:rsidRDefault="00AD3F05" w:rsidP="00AD3F05">
      <w:pPr>
        <w:jc w:val="both"/>
        <w:rPr>
          <w:i/>
        </w:rPr>
      </w:pPr>
    </w:p>
    <w:p w:rsidR="00AD3F05" w:rsidRPr="00BB03C9" w:rsidRDefault="00AD3F05" w:rsidP="00AD3F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И</w:t>
      </w:r>
      <w:r w:rsidRPr="00BB03C9">
        <w:rPr>
          <w:b/>
          <w:sz w:val="28"/>
          <w:szCs w:val="28"/>
        </w:rPr>
        <w:t>нвестиционной программы</w:t>
      </w:r>
      <w:r>
        <w:rPr>
          <w:b/>
          <w:sz w:val="28"/>
          <w:szCs w:val="28"/>
        </w:rPr>
        <w:t xml:space="preserve"> МП «</w:t>
      </w:r>
      <w:proofErr w:type="spellStart"/>
      <w:r>
        <w:rPr>
          <w:b/>
          <w:sz w:val="28"/>
          <w:szCs w:val="28"/>
        </w:rPr>
        <w:t>Горводоканал</w:t>
      </w:r>
      <w:proofErr w:type="spellEnd"/>
      <w:r>
        <w:rPr>
          <w:b/>
          <w:sz w:val="28"/>
          <w:szCs w:val="28"/>
        </w:rPr>
        <w:t>»</w:t>
      </w:r>
    </w:p>
    <w:p w:rsidR="00AD3F05" w:rsidRDefault="00AD3F05" w:rsidP="00AD3F05">
      <w:pPr>
        <w:jc w:val="center"/>
        <w:rPr>
          <w:b/>
          <w:sz w:val="28"/>
          <w:szCs w:val="28"/>
        </w:rPr>
      </w:pPr>
      <w:r w:rsidRPr="00BB03C9">
        <w:rPr>
          <w:b/>
          <w:sz w:val="28"/>
          <w:szCs w:val="28"/>
        </w:rPr>
        <w:t>«Улучшение качества очистки и обеззараживания питьевой                                               воды и сточных вод на 20</w:t>
      </w:r>
      <w:r>
        <w:rPr>
          <w:b/>
          <w:sz w:val="28"/>
          <w:szCs w:val="28"/>
        </w:rPr>
        <w:t xml:space="preserve">10-2012 годы»                                                                  </w:t>
      </w:r>
    </w:p>
    <w:p w:rsidR="00AD3F05" w:rsidRDefault="00AD3F05" w:rsidP="00AD3F05">
      <w:pPr>
        <w:rPr>
          <w:b/>
          <w:sz w:val="28"/>
          <w:szCs w:val="28"/>
        </w:rPr>
      </w:pPr>
    </w:p>
    <w:p w:rsidR="00AD3F05" w:rsidRDefault="00AD3F05" w:rsidP="00AD3F05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pPr w:leftFromText="180" w:rightFromText="180" w:vertAnchor="text" w:horzAnchor="margin" w:tblpY="82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7133"/>
      </w:tblGrid>
      <w:tr w:rsidR="00AD3F05" w:rsidRPr="00107AE6" w:rsidTr="00E30D14">
        <w:trPr>
          <w:trHeight w:val="51"/>
        </w:trPr>
        <w:tc>
          <w:tcPr>
            <w:tcW w:w="3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F05" w:rsidRPr="00107AE6" w:rsidRDefault="00AD3F05" w:rsidP="00E30D14">
            <w:pPr>
              <w:rPr>
                <w:b/>
              </w:rPr>
            </w:pPr>
            <w:r w:rsidRPr="00107AE6">
              <w:rPr>
                <w:b/>
              </w:rPr>
              <w:t>Наименование Программы</w:t>
            </w:r>
          </w:p>
        </w:tc>
        <w:tc>
          <w:tcPr>
            <w:tcW w:w="7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F05" w:rsidRPr="00107AE6" w:rsidRDefault="00AD3F05" w:rsidP="00E30D14">
            <w:r w:rsidRPr="00107AE6">
              <w:t>Улучшение качества очистки и обеззараживания питьевой воды и сточных вод на 2010-2012 годы</w:t>
            </w:r>
          </w:p>
        </w:tc>
      </w:tr>
      <w:tr w:rsidR="00AD3F05" w:rsidRPr="00107AE6" w:rsidTr="00E30D14">
        <w:trPr>
          <w:trHeight w:val="51"/>
        </w:trPr>
        <w:tc>
          <w:tcPr>
            <w:tcW w:w="3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F05" w:rsidRPr="00107AE6" w:rsidRDefault="00AD3F05" w:rsidP="00E30D14">
            <w:pPr>
              <w:rPr>
                <w:b/>
              </w:rPr>
            </w:pPr>
            <w:r w:rsidRPr="00107AE6">
              <w:rPr>
                <w:b/>
              </w:rPr>
              <w:t>Основание для разработки Программы</w:t>
            </w:r>
          </w:p>
        </w:tc>
        <w:tc>
          <w:tcPr>
            <w:tcW w:w="7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F05" w:rsidRPr="00107AE6" w:rsidRDefault="00AD3F05" w:rsidP="00E30D14">
            <w:pPr>
              <w:jc w:val="both"/>
            </w:pPr>
            <w:r w:rsidRPr="00107AE6">
              <w:t>Федеральный закон от 30.12.2004 №210-ФЗ «Об основах регулирования тарифов организаций коммунального комплекса», решение Собрания депутатов МО «Котлас» от 26 июня 2008 года «</w:t>
            </w:r>
            <w:proofErr w:type="gramStart"/>
            <w:r w:rsidRPr="00107AE6">
              <w:t>О</w:t>
            </w:r>
            <w:proofErr w:type="gramEnd"/>
            <w:r w:rsidRPr="00107AE6">
              <w:t xml:space="preserve"> утверждении задания организаций коммунального комплекса на разработку инвестиционных программ». Техническое задание на разработку инвестиционной программы МП «</w:t>
            </w:r>
            <w:proofErr w:type="spellStart"/>
            <w:r w:rsidRPr="00107AE6">
              <w:t>Горводоканал</w:t>
            </w:r>
            <w:proofErr w:type="spellEnd"/>
            <w:r w:rsidRPr="00107AE6">
              <w:t>» «Улучшение качества очистки и обеззараживания  питьевой воды и сточных вод на 2010-2012 годы».</w:t>
            </w:r>
          </w:p>
        </w:tc>
      </w:tr>
      <w:tr w:rsidR="00AD3F05" w:rsidRPr="00107AE6" w:rsidTr="00E30D14">
        <w:trPr>
          <w:trHeight w:val="148"/>
        </w:trPr>
        <w:tc>
          <w:tcPr>
            <w:tcW w:w="3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F05" w:rsidRPr="00107AE6" w:rsidRDefault="00AD3F05" w:rsidP="00E30D14">
            <w:pPr>
              <w:jc w:val="both"/>
              <w:rPr>
                <w:b/>
              </w:rPr>
            </w:pPr>
            <w:r w:rsidRPr="00107AE6">
              <w:rPr>
                <w:b/>
              </w:rPr>
              <w:t>Заказчик Программы</w:t>
            </w:r>
          </w:p>
        </w:tc>
        <w:tc>
          <w:tcPr>
            <w:tcW w:w="7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F05" w:rsidRPr="00107AE6" w:rsidRDefault="00AD3F05" w:rsidP="00E30D14">
            <w:pPr>
              <w:jc w:val="both"/>
            </w:pPr>
            <w:r w:rsidRPr="00107AE6">
              <w:t>Администрация МО «Котлас»</w:t>
            </w:r>
          </w:p>
        </w:tc>
      </w:tr>
      <w:tr w:rsidR="00AD3F05" w:rsidRPr="00107AE6" w:rsidTr="00E30D14">
        <w:trPr>
          <w:trHeight w:val="51"/>
        </w:trPr>
        <w:tc>
          <w:tcPr>
            <w:tcW w:w="3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F05" w:rsidRPr="00107AE6" w:rsidRDefault="00AD3F05" w:rsidP="00E30D14">
            <w:pPr>
              <w:jc w:val="both"/>
              <w:rPr>
                <w:b/>
              </w:rPr>
            </w:pPr>
            <w:r w:rsidRPr="00107AE6">
              <w:rPr>
                <w:b/>
              </w:rPr>
              <w:t>Разработчик Программы</w:t>
            </w:r>
          </w:p>
        </w:tc>
        <w:tc>
          <w:tcPr>
            <w:tcW w:w="7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F05" w:rsidRPr="00107AE6" w:rsidRDefault="00AD3F05" w:rsidP="00E30D14">
            <w:pPr>
              <w:jc w:val="both"/>
            </w:pPr>
            <w:r w:rsidRPr="00107AE6">
              <w:t>Муниципальное предприятие «</w:t>
            </w:r>
            <w:proofErr w:type="spellStart"/>
            <w:r w:rsidRPr="00107AE6">
              <w:t>Горводоканал</w:t>
            </w:r>
            <w:proofErr w:type="spellEnd"/>
            <w:r w:rsidRPr="00107AE6">
              <w:t>»</w:t>
            </w:r>
          </w:p>
        </w:tc>
      </w:tr>
      <w:tr w:rsidR="00AD3F05" w:rsidRPr="00107AE6" w:rsidTr="00E30D14">
        <w:trPr>
          <w:trHeight w:val="51"/>
        </w:trPr>
        <w:tc>
          <w:tcPr>
            <w:tcW w:w="3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F05" w:rsidRPr="00107AE6" w:rsidRDefault="00AD3F05" w:rsidP="00E30D14">
            <w:pPr>
              <w:jc w:val="both"/>
              <w:rPr>
                <w:b/>
              </w:rPr>
            </w:pPr>
            <w:r w:rsidRPr="00107AE6">
              <w:rPr>
                <w:b/>
              </w:rPr>
              <w:t>Сроки реализации Программы</w:t>
            </w:r>
          </w:p>
        </w:tc>
        <w:tc>
          <w:tcPr>
            <w:tcW w:w="7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F05" w:rsidRPr="00107AE6" w:rsidRDefault="00AD3F05" w:rsidP="00E30D14">
            <w:pPr>
              <w:jc w:val="both"/>
            </w:pPr>
            <w:r w:rsidRPr="00107AE6">
              <w:t>2010-2012 годы</w:t>
            </w:r>
          </w:p>
        </w:tc>
      </w:tr>
      <w:tr w:rsidR="00AD3F05" w:rsidRPr="00107AE6" w:rsidTr="00E30D14">
        <w:trPr>
          <w:trHeight w:val="251"/>
        </w:trPr>
        <w:tc>
          <w:tcPr>
            <w:tcW w:w="3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F05" w:rsidRPr="00107AE6" w:rsidRDefault="00AD3F05" w:rsidP="00E30D14">
            <w:pPr>
              <w:jc w:val="both"/>
              <w:rPr>
                <w:b/>
              </w:rPr>
            </w:pPr>
            <w:r w:rsidRPr="00107AE6">
              <w:rPr>
                <w:b/>
              </w:rPr>
              <w:t>Цели и задачи Программы</w:t>
            </w:r>
          </w:p>
        </w:tc>
        <w:tc>
          <w:tcPr>
            <w:tcW w:w="7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F05" w:rsidRPr="00107AE6" w:rsidRDefault="00AD3F05" w:rsidP="00E30D14">
            <w:pPr>
              <w:jc w:val="both"/>
              <w:rPr>
                <w:b/>
              </w:rPr>
            </w:pPr>
            <w:r w:rsidRPr="00107AE6">
              <w:rPr>
                <w:b/>
                <w:u w:val="single"/>
              </w:rPr>
              <w:t>Основные цели инвестиционной программы</w:t>
            </w:r>
            <w:r w:rsidRPr="00107AE6">
              <w:rPr>
                <w:b/>
              </w:rPr>
              <w:t>:</w:t>
            </w:r>
          </w:p>
          <w:p w:rsidR="00AD3F05" w:rsidRPr="00107AE6" w:rsidRDefault="00AD3F05" w:rsidP="00E30D14">
            <w:pPr>
              <w:jc w:val="both"/>
            </w:pPr>
            <w:r w:rsidRPr="00107AE6">
              <w:t>Повышение надежности сооружений водопроводно-канализационного хозяйства;</w:t>
            </w:r>
          </w:p>
          <w:p w:rsidR="00AD3F05" w:rsidRPr="00107AE6" w:rsidRDefault="00AD3F05" w:rsidP="00E30D14">
            <w:pPr>
              <w:jc w:val="both"/>
            </w:pPr>
            <w:r w:rsidRPr="00107AE6">
              <w:t>Приведение услуг по водоснабжению и водоотведению в соответствие с действующими нормативными требованиями, улучшение качества очистки и обеззараживания питьевой и сточных вод</w:t>
            </w:r>
          </w:p>
          <w:p w:rsidR="00AD3F05" w:rsidRPr="00107AE6" w:rsidRDefault="00AD3F05" w:rsidP="00E30D14">
            <w:pPr>
              <w:jc w:val="both"/>
            </w:pPr>
            <w:r w:rsidRPr="00107AE6">
              <w:t xml:space="preserve">Отказаться от потенциально-опасного производства (хлора); </w:t>
            </w:r>
          </w:p>
          <w:p w:rsidR="00AD3F05" w:rsidRPr="00107AE6" w:rsidRDefault="00AD3F05" w:rsidP="00E30D14">
            <w:pPr>
              <w:jc w:val="both"/>
            </w:pPr>
            <w:r w:rsidRPr="00107AE6">
              <w:lastRenderedPageBreak/>
              <w:t xml:space="preserve">Повышение экологической безопасности </w:t>
            </w:r>
            <w:proofErr w:type="spellStart"/>
            <w:r w:rsidRPr="00107AE6">
              <w:t>поцессов</w:t>
            </w:r>
            <w:proofErr w:type="spellEnd"/>
            <w:r w:rsidRPr="00107AE6">
              <w:t xml:space="preserve"> очистки;                                                                             Снижение себестоимости очистки питьевой и сточных вод (транспортные, эксплуатационные расходы); </w:t>
            </w:r>
          </w:p>
          <w:p w:rsidR="00AD3F05" w:rsidRPr="00107AE6" w:rsidRDefault="00AD3F05" w:rsidP="00E30D14">
            <w:pPr>
              <w:jc w:val="both"/>
            </w:pPr>
          </w:p>
          <w:p w:rsidR="00AD3F05" w:rsidRPr="00107AE6" w:rsidRDefault="00AD3F05" w:rsidP="00E30D14">
            <w:pPr>
              <w:jc w:val="both"/>
            </w:pPr>
            <w:r w:rsidRPr="00107AE6">
              <w:rPr>
                <w:b/>
                <w:u w:val="single"/>
              </w:rPr>
              <w:t>Основные задачи инвестиционной программы</w:t>
            </w:r>
            <w:r w:rsidRPr="00107AE6">
              <w:t xml:space="preserve">: </w:t>
            </w:r>
          </w:p>
          <w:p w:rsidR="00AD3F05" w:rsidRPr="00107AE6" w:rsidRDefault="00AD3F05" w:rsidP="00E30D14">
            <w:pPr>
              <w:jc w:val="both"/>
            </w:pPr>
            <w:r w:rsidRPr="00107AE6">
              <w:t>Разработка плана технических мероприятий, направленных на улучшение качества очистки и обеззараживания питьевой и сточных вод;</w:t>
            </w:r>
          </w:p>
          <w:p w:rsidR="00AD3F05" w:rsidRPr="00107AE6" w:rsidRDefault="00AD3F05" w:rsidP="00E30D14">
            <w:pPr>
              <w:jc w:val="both"/>
            </w:pPr>
            <w:r w:rsidRPr="00107AE6">
              <w:t>Определение необходимой финансовой потребности МП «</w:t>
            </w:r>
            <w:proofErr w:type="spellStart"/>
            <w:r w:rsidRPr="00107AE6">
              <w:t>Горводоканал</w:t>
            </w:r>
            <w:proofErr w:type="spellEnd"/>
            <w:r w:rsidRPr="00107AE6">
              <w:t>» на реализацию мероприятий по улучшению качества очистки и обеззараживания   питьевой и сточных вод;</w:t>
            </w:r>
          </w:p>
          <w:p w:rsidR="00AD3F05" w:rsidRPr="00107AE6" w:rsidRDefault="00AD3F05" w:rsidP="00E30D14">
            <w:pPr>
              <w:jc w:val="both"/>
            </w:pPr>
            <w:r w:rsidRPr="00107AE6">
              <w:t>Расчет надбавок к ценам (тарифам) на услуги водоснабжения и водоотведения;</w:t>
            </w:r>
          </w:p>
          <w:p w:rsidR="00AD3F05" w:rsidRPr="00107AE6" w:rsidRDefault="00AD3F05" w:rsidP="00E30D14">
            <w:pPr>
              <w:jc w:val="both"/>
            </w:pPr>
            <w:r w:rsidRPr="00107AE6">
              <w:t xml:space="preserve">Создание условий необходимых для </w:t>
            </w:r>
            <w:proofErr w:type="spellStart"/>
            <w:r w:rsidRPr="00107AE6">
              <w:t>превлечению</w:t>
            </w:r>
            <w:proofErr w:type="spellEnd"/>
            <w:r w:rsidRPr="00107AE6">
              <w:t xml:space="preserve"> инвестиций в целях развития и модернизации систем коммунальной инфраструктуры.</w:t>
            </w:r>
          </w:p>
          <w:p w:rsidR="00AD3F05" w:rsidRPr="00107AE6" w:rsidRDefault="00AD3F05" w:rsidP="00E30D14">
            <w:pPr>
              <w:jc w:val="both"/>
              <w:rPr>
                <w:i/>
              </w:rPr>
            </w:pPr>
            <w:r w:rsidRPr="00107AE6">
              <w:t>(</w:t>
            </w:r>
            <w:r w:rsidRPr="00107AE6">
              <w:rPr>
                <w:i/>
              </w:rPr>
              <w:t>в редакции Решения Собрания депутатов МО «Котлас» от «18» февраля 2010 г. №89-186-р)</w:t>
            </w:r>
          </w:p>
          <w:p w:rsidR="00AD3F05" w:rsidRPr="00107AE6" w:rsidRDefault="00AD3F05" w:rsidP="00E30D14">
            <w:pPr>
              <w:jc w:val="both"/>
            </w:pPr>
          </w:p>
        </w:tc>
      </w:tr>
      <w:tr w:rsidR="00AD3F05" w:rsidRPr="00107AE6" w:rsidTr="00E30D14">
        <w:trPr>
          <w:trHeight w:val="2060"/>
        </w:trPr>
        <w:tc>
          <w:tcPr>
            <w:tcW w:w="36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F05" w:rsidRPr="00107AE6" w:rsidRDefault="00AD3F05" w:rsidP="00E30D14">
            <w:pPr>
              <w:jc w:val="both"/>
              <w:rPr>
                <w:b/>
              </w:rPr>
            </w:pPr>
            <w:r w:rsidRPr="00107AE6">
              <w:rPr>
                <w:b/>
              </w:rPr>
              <w:lastRenderedPageBreak/>
              <w:t xml:space="preserve">Объемы и источники финансирования Программы  </w:t>
            </w:r>
          </w:p>
          <w:p w:rsidR="00AD3F05" w:rsidRPr="00107AE6" w:rsidRDefault="00AD3F05" w:rsidP="00E30D14">
            <w:pPr>
              <w:jc w:val="both"/>
              <w:rPr>
                <w:b/>
              </w:rPr>
            </w:pPr>
          </w:p>
        </w:tc>
        <w:tc>
          <w:tcPr>
            <w:tcW w:w="71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F05" w:rsidRPr="00107AE6" w:rsidRDefault="00AD3F05" w:rsidP="00E30D14">
            <w:r w:rsidRPr="00107AE6">
              <w:t xml:space="preserve"> Общий объем финансирования инвестиционной программы– 25,4 </w:t>
            </w:r>
            <w:proofErr w:type="spellStart"/>
            <w:r w:rsidRPr="00107AE6">
              <w:t>млн</w:t>
            </w:r>
            <w:proofErr w:type="gramStart"/>
            <w:r w:rsidRPr="00107AE6">
              <w:t>.р</w:t>
            </w:r>
            <w:proofErr w:type="gramEnd"/>
            <w:r w:rsidRPr="00107AE6">
              <w:t>уб</w:t>
            </w:r>
            <w:proofErr w:type="spellEnd"/>
            <w:r w:rsidRPr="00107AE6">
              <w:t>.</w:t>
            </w:r>
          </w:p>
          <w:p w:rsidR="00AD3F05" w:rsidRPr="00107AE6" w:rsidRDefault="00AD3F05" w:rsidP="00E30D14">
            <w:r w:rsidRPr="00107AE6">
              <w:t>*Источники финансирования:</w:t>
            </w:r>
          </w:p>
          <w:p w:rsidR="00AD3F05" w:rsidRPr="00107AE6" w:rsidRDefault="00AD3F05" w:rsidP="00E30D14">
            <w:r w:rsidRPr="00107AE6">
              <w:t xml:space="preserve">а) надбавка к тарифу  </w:t>
            </w:r>
          </w:p>
          <w:p w:rsidR="00AD3F05" w:rsidRPr="00107AE6" w:rsidRDefault="00AD3F05" w:rsidP="00E30D14"/>
          <w:p w:rsidR="00AD3F05" w:rsidRPr="00107AE6" w:rsidRDefault="00AD3F05" w:rsidP="00E30D14">
            <w:r w:rsidRPr="00107AE6">
              <w:t>*</w:t>
            </w:r>
            <w:r w:rsidRPr="00107AE6">
              <w:rPr>
                <w:b/>
              </w:rPr>
              <w:t>(</w:t>
            </w:r>
            <w:r w:rsidRPr="00107AE6">
              <w:rPr>
                <w:b/>
                <w:i/>
              </w:rPr>
              <w:t xml:space="preserve">объём финансирования по источникам определяет орган регулирования муниципального образования)                                                                      </w:t>
            </w:r>
          </w:p>
        </w:tc>
      </w:tr>
      <w:tr w:rsidR="00AD3F05" w:rsidRPr="00107AE6" w:rsidTr="00E30D14">
        <w:trPr>
          <w:trHeight w:val="2916"/>
        </w:trPr>
        <w:tc>
          <w:tcPr>
            <w:tcW w:w="3646" w:type="dxa"/>
            <w:tcBorders>
              <w:left w:val="double" w:sz="4" w:space="0" w:color="auto"/>
              <w:right w:val="double" w:sz="4" w:space="0" w:color="auto"/>
            </w:tcBorders>
          </w:tcPr>
          <w:p w:rsidR="00AD3F05" w:rsidRPr="00107AE6" w:rsidRDefault="00AD3F05" w:rsidP="00E30D14">
            <w:pPr>
              <w:jc w:val="both"/>
              <w:rPr>
                <w:b/>
              </w:rPr>
            </w:pPr>
            <w:r w:rsidRPr="00107AE6">
              <w:rPr>
                <w:b/>
              </w:rPr>
              <w:t>Ожидаемые результаты</w:t>
            </w:r>
          </w:p>
        </w:tc>
        <w:tc>
          <w:tcPr>
            <w:tcW w:w="71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F05" w:rsidRPr="00107AE6" w:rsidRDefault="00AD3F05" w:rsidP="00E30D14">
            <w:pPr>
              <w:jc w:val="both"/>
            </w:pPr>
            <w:r w:rsidRPr="00107AE6">
              <w:t>Возрастет качество очистки и обеззараживания питьевой и сточных вод.</w:t>
            </w:r>
          </w:p>
          <w:p w:rsidR="00AD3F05" w:rsidRPr="00107AE6" w:rsidRDefault="00AD3F05" w:rsidP="00E30D14">
            <w:pPr>
              <w:jc w:val="both"/>
            </w:pPr>
            <w:r w:rsidRPr="00107AE6">
              <w:t>Снижение затрат на обеззараживание в пересчете на чистый хлор до 35 руб./</w:t>
            </w:r>
            <w:proofErr w:type="gramStart"/>
            <w:r w:rsidRPr="00107AE6">
              <w:t>кг</w:t>
            </w:r>
            <w:proofErr w:type="gramEnd"/>
            <w:r w:rsidRPr="00107AE6">
              <w:t xml:space="preserve"> хлора.</w:t>
            </w:r>
          </w:p>
          <w:p w:rsidR="00AD3F05" w:rsidRPr="00107AE6" w:rsidRDefault="00AD3F05" w:rsidP="00E30D14">
            <w:pPr>
              <w:jc w:val="both"/>
            </w:pPr>
            <w:r w:rsidRPr="00107AE6">
              <w:t xml:space="preserve">Годовой экономический эффект от внедрения УФ-установок и электрохимических установок для получения смеси </w:t>
            </w:r>
            <w:proofErr w:type="spellStart"/>
            <w:r w:rsidRPr="00107AE6">
              <w:t>оксидантов</w:t>
            </w:r>
            <w:proofErr w:type="spellEnd"/>
            <w:r w:rsidRPr="00107AE6">
              <w:t xml:space="preserve"> оценивается приблизительно в 2 400 </w:t>
            </w:r>
            <w:proofErr w:type="spellStart"/>
            <w:r w:rsidRPr="00107AE6">
              <w:t>тыс</w:t>
            </w:r>
            <w:proofErr w:type="gramStart"/>
            <w:r w:rsidRPr="00107AE6">
              <w:t>.р</w:t>
            </w:r>
            <w:proofErr w:type="gramEnd"/>
            <w:r w:rsidRPr="00107AE6">
              <w:t>уб</w:t>
            </w:r>
            <w:proofErr w:type="spellEnd"/>
            <w:r w:rsidRPr="00107AE6">
              <w:t>.</w:t>
            </w:r>
          </w:p>
          <w:p w:rsidR="00AD3F05" w:rsidRPr="00107AE6" w:rsidRDefault="00AD3F05" w:rsidP="00E30D14">
            <w:r w:rsidRPr="00107AE6">
              <w:t>Ликвидируется потенциально опасное производства на территории МО «Котлас»</w:t>
            </w:r>
          </w:p>
        </w:tc>
      </w:tr>
      <w:tr w:rsidR="00AD3F05" w:rsidRPr="00107AE6" w:rsidTr="00E30D14">
        <w:trPr>
          <w:trHeight w:val="77"/>
        </w:trPr>
        <w:tc>
          <w:tcPr>
            <w:tcW w:w="36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F05" w:rsidRPr="00107AE6" w:rsidRDefault="00AD3F05" w:rsidP="00E30D14">
            <w:pPr>
              <w:jc w:val="both"/>
              <w:rPr>
                <w:b/>
              </w:rPr>
            </w:pPr>
            <w:r w:rsidRPr="00107AE6">
              <w:rPr>
                <w:b/>
              </w:rPr>
              <w:t xml:space="preserve">Контроль </w:t>
            </w:r>
            <w:proofErr w:type="gramStart"/>
            <w:r w:rsidRPr="00107AE6">
              <w:rPr>
                <w:b/>
              </w:rPr>
              <w:t>за</w:t>
            </w:r>
            <w:proofErr w:type="gramEnd"/>
          </w:p>
          <w:p w:rsidR="00AD3F05" w:rsidRPr="00107AE6" w:rsidRDefault="00AD3F05" w:rsidP="00E30D14">
            <w:pPr>
              <w:jc w:val="both"/>
              <w:rPr>
                <w:b/>
              </w:rPr>
            </w:pPr>
            <w:r w:rsidRPr="00107AE6">
              <w:rPr>
                <w:b/>
              </w:rPr>
              <w:t>исполнением Программы</w:t>
            </w:r>
          </w:p>
        </w:tc>
        <w:tc>
          <w:tcPr>
            <w:tcW w:w="71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F05" w:rsidRPr="00107AE6" w:rsidRDefault="00AD3F05" w:rsidP="00E30D14">
            <w:pPr>
              <w:jc w:val="both"/>
            </w:pPr>
            <w:r w:rsidRPr="00107AE6">
              <w:t>Мониторинг реализации инвестиционной программы осуществляется Заказчиком Программы администрацией МО «Котлас»</w:t>
            </w:r>
          </w:p>
        </w:tc>
      </w:tr>
      <w:tr w:rsidR="00AD3F05" w:rsidRPr="00107AE6" w:rsidTr="00E30D14">
        <w:trPr>
          <w:trHeight w:val="57"/>
        </w:trPr>
        <w:tc>
          <w:tcPr>
            <w:tcW w:w="1077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3F05" w:rsidRPr="00107AE6" w:rsidRDefault="00AD3F05" w:rsidP="00E30D14">
            <w:pPr>
              <w:rPr>
                <w:sz w:val="28"/>
                <w:szCs w:val="28"/>
              </w:rPr>
            </w:pPr>
          </w:p>
        </w:tc>
      </w:tr>
    </w:tbl>
    <w:p w:rsidR="00AD3F05" w:rsidRPr="00BC5FE6" w:rsidRDefault="00AD3F05" w:rsidP="00AD3F05">
      <w:pPr>
        <w:rPr>
          <w:b/>
        </w:rPr>
      </w:pPr>
      <w:r w:rsidRPr="00BC5FE6">
        <w:rPr>
          <w:b/>
        </w:rPr>
        <w:lastRenderedPageBreak/>
        <w:t>1.Анализ финансового состояния предприятия.</w:t>
      </w:r>
    </w:p>
    <w:p w:rsidR="00AD3F05" w:rsidRPr="00BC5FE6" w:rsidRDefault="00AD3F05" w:rsidP="00AD3F05">
      <w:pPr>
        <w:ind w:firstLine="708"/>
        <w:jc w:val="both"/>
      </w:pPr>
      <w:proofErr w:type="gramStart"/>
      <w:r w:rsidRPr="00BC5FE6">
        <w:t>На конец</w:t>
      </w:r>
      <w:proofErr w:type="gramEnd"/>
      <w:r w:rsidRPr="00BC5FE6">
        <w:t xml:space="preserve"> 2008 года на предприятии наблюдается кризисное финансовое состояние. За год в целом по предприятию доходы составили 137314 </w:t>
      </w:r>
      <w:proofErr w:type="spellStart"/>
      <w:r w:rsidRPr="00BC5FE6">
        <w:t>тыс</w:t>
      </w:r>
      <w:proofErr w:type="gramStart"/>
      <w:r w:rsidRPr="00BC5FE6">
        <w:t>.р</w:t>
      </w:r>
      <w:proofErr w:type="gramEnd"/>
      <w:r w:rsidRPr="00BC5FE6">
        <w:t>уб</w:t>
      </w:r>
      <w:proofErr w:type="spellEnd"/>
      <w:r w:rsidRPr="00BC5FE6">
        <w:t xml:space="preserve">., расходы 143287 </w:t>
      </w:r>
      <w:proofErr w:type="spellStart"/>
      <w:r w:rsidRPr="00BC5FE6">
        <w:t>тыс.руб</w:t>
      </w:r>
      <w:proofErr w:type="spellEnd"/>
      <w:r w:rsidRPr="00BC5FE6">
        <w:t xml:space="preserve">. За 2008 год предприятие получило чистый убыток 2084 </w:t>
      </w:r>
      <w:proofErr w:type="spellStart"/>
      <w:r w:rsidRPr="00BC5FE6">
        <w:t>тыс.руб</w:t>
      </w:r>
      <w:proofErr w:type="spellEnd"/>
      <w:r w:rsidRPr="00BC5FE6">
        <w:t xml:space="preserve">. Кредиторская задолженность на конец отчетного года составила 28083 </w:t>
      </w:r>
      <w:proofErr w:type="spellStart"/>
      <w:r w:rsidRPr="00BC5FE6">
        <w:t>тыс.руб</w:t>
      </w:r>
      <w:proofErr w:type="spellEnd"/>
      <w:r w:rsidRPr="00BC5FE6">
        <w:t xml:space="preserve">., по сравнению с 2007 годом увеличилась на 9000  </w:t>
      </w:r>
      <w:proofErr w:type="spellStart"/>
      <w:r w:rsidRPr="00BC5FE6">
        <w:t>тыс.руб</w:t>
      </w:r>
      <w:proofErr w:type="spellEnd"/>
      <w:r w:rsidRPr="00BC5FE6">
        <w:t xml:space="preserve">. Дебиторская задолженность составила 23445 </w:t>
      </w:r>
      <w:proofErr w:type="spellStart"/>
      <w:r w:rsidRPr="00BC5FE6">
        <w:t>тыс.руб</w:t>
      </w:r>
      <w:proofErr w:type="spellEnd"/>
      <w:r w:rsidRPr="00BC5FE6">
        <w:t xml:space="preserve">., по сравнению с 2007 годом увеличилась на 9658 </w:t>
      </w:r>
      <w:proofErr w:type="spellStart"/>
      <w:r w:rsidRPr="00BC5FE6">
        <w:t>тыс.руб</w:t>
      </w:r>
      <w:proofErr w:type="spellEnd"/>
      <w:r w:rsidRPr="00BC5FE6">
        <w:t>.</w:t>
      </w:r>
    </w:p>
    <w:p w:rsidR="00AD3F05" w:rsidRPr="00BC5FE6" w:rsidRDefault="00AD3F05" w:rsidP="00AD3F05">
      <w:pPr>
        <w:jc w:val="both"/>
      </w:pPr>
    </w:p>
    <w:p w:rsidR="00AD3F05" w:rsidRPr="00BC5FE6" w:rsidRDefault="00AD3F05" w:rsidP="00AD3F05">
      <w:pPr>
        <w:ind w:left="360"/>
        <w:rPr>
          <w:b/>
        </w:rPr>
      </w:pPr>
      <w:r w:rsidRPr="00BC5FE6">
        <w:rPr>
          <w:b/>
        </w:rPr>
        <w:t>2.Описание действующих систем водоснабжения и водоотведения города.</w:t>
      </w:r>
    </w:p>
    <w:p w:rsidR="00AD3F05" w:rsidRPr="00BC5FE6" w:rsidRDefault="00AD3F05" w:rsidP="00AD3F05">
      <w:pPr>
        <w:ind w:firstLine="708"/>
        <w:jc w:val="both"/>
      </w:pPr>
      <w:r w:rsidRPr="00BC5FE6">
        <w:t xml:space="preserve">Система централизованного водоснабжения – объединённая: хозяйственно-питьевого, производственного и противопожарного назначения. Источники водоснабжения – поверхностные воды рек </w:t>
      </w:r>
      <w:proofErr w:type="spellStart"/>
      <w:r w:rsidRPr="00BC5FE6">
        <w:t>Лименда</w:t>
      </w:r>
      <w:proofErr w:type="spellEnd"/>
      <w:r w:rsidRPr="00BC5FE6">
        <w:t xml:space="preserve"> и Северная Двина. </w:t>
      </w:r>
    </w:p>
    <w:p w:rsidR="00AD3F05" w:rsidRPr="00BC5FE6" w:rsidRDefault="00AD3F05" w:rsidP="00AD3F05">
      <w:pPr>
        <w:ind w:firstLine="708"/>
        <w:jc w:val="both"/>
      </w:pPr>
      <w:r w:rsidRPr="00BC5FE6">
        <w:t xml:space="preserve">Водозаборы: городские насосные станции 1 подъема – на </w:t>
      </w:r>
      <w:proofErr w:type="spellStart"/>
      <w:r w:rsidRPr="00BC5FE6">
        <w:t>р</w:t>
      </w:r>
      <w:proofErr w:type="gramStart"/>
      <w:r w:rsidRPr="00BC5FE6">
        <w:t>.Л</w:t>
      </w:r>
      <w:proofErr w:type="gramEnd"/>
      <w:r w:rsidRPr="00BC5FE6">
        <w:t>именда</w:t>
      </w:r>
      <w:proofErr w:type="spellEnd"/>
      <w:r w:rsidRPr="00BC5FE6">
        <w:t>, производительностью 27,5 тыс.м</w:t>
      </w:r>
      <w:r w:rsidRPr="00BC5FE6">
        <w:rPr>
          <w:vertAlign w:val="superscript"/>
        </w:rPr>
        <w:t>3</w:t>
      </w:r>
      <w:r w:rsidRPr="00BC5FE6">
        <w:t xml:space="preserve">/сутки; </w:t>
      </w:r>
      <w:proofErr w:type="spellStart"/>
      <w:r w:rsidRPr="00BC5FE6">
        <w:t>водонасосная</w:t>
      </w:r>
      <w:proofErr w:type="spellEnd"/>
      <w:r w:rsidRPr="00BC5FE6">
        <w:t xml:space="preserve"> станция м-на </w:t>
      </w:r>
      <w:proofErr w:type="spellStart"/>
      <w:r w:rsidRPr="00BC5FE6">
        <w:t>Лименда</w:t>
      </w:r>
      <w:proofErr w:type="spellEnd"/>
      <w:r w:rsidRPr="00BC5FE6">
        <w:t xml:space="preserve"> – на </w:t>
      </w:r>
      <w:proofErr w:type="spellStart"/>
      <w:r w:rsidRPr="00BC5FE6">
        <w:t>р.Лименда</w:t>
      </w:r>
      <w:proofErr w:type="spellEnd"/>
      <w:r w:rsidRPr="00BC5FE6">
        <w:t>, производительностью 5 тыс.м</w:t>
      </w:r>
      <w:r w:rsidRPr="00BC5FE6">
        <w:rPr>
          <w:vertAlign w:val="superscript"/>
        </w:rPr>
        <w:t>3</w:t>
      </w:r>
      <w:r w:rsidRPr="00BC5FE6">
        <w:t xml:space="preserve">/сутки; насосная станция 1 подъема ДОК – на </w:t>
      </w:r>
      <w:proofErr w:type="spellStart"/>
      <w:r w:rsidRPr="00BC5FE6">
        <w:t>р.С.Двина</w:t>
      </w:r>
      <w:proofErr w:type="spellEnd"/>
      <w:r w:rsidRPr="00BC5FE6">
        <w:t>, производительностью 1,5 тыс.м</w:t>
      </w:r>
      <w:r w:rsidRPr="00BC5FE6">
        <w:rPr>
          <w:vertAlign w:val="superscript"/>
        </w:rPr>
        <w:t>3</w:t>
      </w:r>
      <w:r w:rsidRPr="00BC5FE6">
        <w:t>/сутки.</w:t>
      </w:r>
    </w:p>
    <w:p w:rsidR="00AD3F05" w:rsidRPr="00BC5FE6" w:rsidRDefault="00AD3F05" w:rsidP="00AD3F05">
      <w:pPr>
        <w:ind w:firstLine="708"/>
        <w:jc w:val="both"/>
      </w:pPr>
      <w:r w:rsidRPr="00BC5FE6">
        <w:t>В состав очистных сооружений водопровода с насосными станциями 2 подъема входят: городские ОСВ  проектной  производительностью 26 тыс. м</w:t>
      </w:r>
      <w:r w:rsidRPr="00BC5FE6">
        <w:rPr>
          <w:vertAlign w:val="superscript"/>
        </w:rPr>
        <w:t>3</w:t>
      </w:r>
      <w:r w:rsidRPr="00BC5FE6">
        <w:t>/сутки;  городские ФОС проектной производительностью 9 тыс. м</w:t>
      </w:r>
      <w:r w:rsidRPr="00BC5FE6">
        <w:rPr>
          <w:vertAlign w:val="superscript"/>
        </w:rPr>
        <w:t>3</w:t>
      </w:r>
      <w:r w:rsidRPr="00BC5FE6">
        <w:t>/сутки; ФОС м-на ДОК фактической производительностью 1 тыс. м</w:t>
      </w:r>
      <w:r w:rsidRPr="00BC5FE6">
        <w:rPr>
          <w:vertAlign w:val="superscript"/>
        </w:rPr>
        <w:t>3</w:t>
      </w:r>
      <w:r w:rsidRPr="00BC5FE6">
        <w:t>/сутки.</w:t>
      </w:r>
    </w:p>
    <w:p w:rsidR="00AD3F05" w:rsidRPr="00BC5FE6" w:rsidRDefault="00AD3F05" w:rsidP="00AD3F05">
      <w:pPr>
        <w:ind w:firstLine="708"/>
        <w:jc w:val="both"/>
      </w:pPr>
      <w:r w:rsidRPr="00BC5FE6">
        <w:t>Общая протяженность водопроводных сетей – 122,9 км.</w:t>
      </w:r>
    </w:p>
    <w:p w:rsidR="00AD3F05" w:rsidRPr="00BC5FE6" w:rsidRDefault="00AD3F05" w:rsidP="00AD3F05">
      <w:pPr>
        <w:ind w:firstLine="708"/>
        <w:jc w:val="both"/>
      </w:pPr>
      <w:r w:rsidRPr="00BC5FE6">
        <w:t xml:space="preserve">Система канализации раздельная, которая включает в себя отведение хозяйственно-бытовых и производственных сточных вод, близких по составу к </w:t>
      </w:r>
      <w:proofErr w:type="gramStart"/>
      <w:r w:rsidRPr="00BC5FE6">
        <w:t>бытовым</w:t>
      </w:r>
      <w:proofErr w:type="gramEnd"/>
      <w:r w:rsidRPr="00BC5FE6">
        <w:t>. Схема канализации – самотечно-напорная, с перекачкой сточных вод в отдельных районах города канализационными насосными станциями (КНС) на главную насосную станцию (ГНС) и далее на канализационные очистные сооружения (КОС) города.</w:t>
      </w:r>
    </w:p>
    <w:p w:rsidR="00AD3F05" w:rsidRPr="00BC5FE6" w:rsidRDefault="00AD3F05" w:rsidP="00AD3F05">
      <w:pPr>
        <w:ind w:firstLine="708"/>
        <w:jc w:val="both"/>
      </w:pPr>
      <w:r w:rsidRPr="00BC5FE6">
        <w:t>Канализационные очистные сооружения: городские КОС, проектной производительностью 30 тыс. м</w:t>
      </w:r>
      <w:r w:rsidRPr="00BC5FE6">
        <w:rPr>
          <w:vertAlign w:val="superscript"/>
        </w:rPr>
        <w:t>3</w:t>
      </w:r>
      <w:r w:rsidRPr="00BC5FE6">
        <w:t>/сутки, КОС м-на ДОК – 1 тыс. м</w:t>
      </w:r>
      <w:r w:rsidRPr="00BC5FE6">
        <w:rPr>
          <w:vertAlign w:val="superscript"/>
        </w:rPr>
        <w:t>3</w:t>
      </w:r>
      <w:r w:rsidRPr="00BC5FE6">
        <w:t>/сутки (в настоящее время биофильтра  сооружений выведены из эксплуатации в связи  с аварийным их состоянием).</w:t>
      </w:r>
    </w:p>
    <w:p w:rsidR="00AD3F05" w:rsidRPr="00BC5FE6" w:rsidRDefault="00AD3F05" w:rsidP="00AD3F05">
      <w:pPr>
        <w:ind w:firstLine="708"/>
        <w:jc w:val="both"/>
      </w:pPr>
      <w:r w:rsidRPr="00BC5FE6">
        <w:t>Общая протяженность канализационных сетей – 81,6 км.</w:t>
      </w:r>
    </w:p>
    <w:p w:rsidR="00AD3F05" w:rsidRPr="00BC5FE6" w:rsidRDefault="00AD3F05" w:rsidP="00AD3F05">
      <w:pPr>
        <w:jc w:val="both"/>
      </w:pPr>
    </w:p>
    <w:p w:rsidR="00AD3F05" w:rsidRPr="00BC5FE6" w:rsidRDefault="00AD3F05" w:rsidP="00AD3F05">
      <w:pPr>
        <w:pStyle w:val="a8"/>
        <w:numPr>
          <w:ilvl w:val="0"/>
          <w:numId w:val="2"/>
        </w:numPr>
        <w:rPr>
          <w:b/>
        </w:rPr>
      </w:pPr>
      <w:r w:rsidRPr="00BC5FE6">
        <w:rPr>
          <w:b/>
        </w:rPr>
        <w:t>Анализ существующих проблем систем водоснабжения и водоотведения.</w:t>
      </w:r>
    </w:p>
    <w:p w:rsidR="00AD3F05" w:rsidRPr="00BC5FE6" w:rsidRDefault="00AD3F05" w:rsidP="00AD3F05">
      <w:pPr>
        <w:ind w:left="12" w:firstLine="708"/>
        <w:jc w:val="both"/>
      </w:pPr>
      <w:r w:rsidRPr="00BC5FE6">
        <w:t xml:space="preserve">1) Гидроузел станции 1-го подъема на </w:t>
      </w:r>
      <w:proofErr w:type="spellStart"/>
      <w:r w:rsidRPr="00BC5FE6">
        <w:t>р</w:t>
      </w:r>
      <w:proofErr w:type="gramStart"/>
      <w:r w:rsidRPr="00BC5FE6">
        <w:t>.Л</w:t>
      </w:r>
      <w:proofErr w:type="gramEnd"/>
      <w:r w:rsidRPr="00BC5FE6">
        <w:t>имендке</w:t>
      </w:r>
      <w:proofErr w:type="spellEnd"/>
      <w:r w:rsidRPr="00BC5FE6">
        <w:t xml:space="preserve"> 1985 года постройки введен в эксплуатацию со значительными отклонениями от проектного решения, а именно, не в полном объеме выполнены работы по укреплению берегового откоса левого берега, а укрепление откоса правого берега вообще не производилось. В связи с этим, в процессе эксплуатации гидротехнических сооружений, происходит интенсивная переработка берегов реки, накопление песка (ила) в районе водозабора, что ведет к потере устойчивости береговых колодцев, повышенному износу и возможному выходу из строя водоприемных устройств и насосного оборудования. Указанные процессы усугубляются с каждым годом, что может привести к возникновению чрезвычайной ситуации. </w:t>
      </w:r>
    </w:p>
    <w:p w:rsidR="00AD3F05" w:rsidRPr="00BC5FE6" w:rsidRDefault="00AD3F05" w:rsidP="00AD3F05">
      <w:pPr>
        <w:ind w:left="12" w:firstLine="708"/>
        <w:jc w:val="both"/>
      </w:pPr>
      <w:r w:rsidRPr="00BC5FE6">
        <w:t xml:space="preserve">Под воздействием антропогенных факторов в гидрологическом режиме источника водоснабжения, реки </w:t>
      </w:r>
      <w:proofErr w:type="spellStart"/>
      <w:r w:rsidRPr="00BC5FE6">
        <w:t>Лименды</w:t>
      </w:r>
      <w:proofErr w:type="spellEnd"/>
      <w:r w:rsidRPr="00BC5FE6">
        <w:t>, произошли деструктивные изменения (</w:t>
      </w:r>
      <w:proofErr w:type="spellStart"/>
      <w:r w:rsidRPr="00BC5FE6">
        <w:t>зарегулированность</w:t>
      </w:r>
      <w:proofErr w:type="spellEnd"/>
      <w:r w:rsidRPr="00BC5FE6">
        <w:t xml:space="preserve"> стока, переработка береговой линии,  сопровождающаяся «миграция песков», возросший вынос в водоем из болот органических соединений), которые значительно ухудшили качество поступающей на очистку воды.   </w:t>
      </w:r>
      <w:r w:rsidRPr="00BC5FE6">
        <w:tab/>
      </w:r>
      <w:r w:rsidRPr="00BC5FE6">
        <w:tab/>
      </w:r>
    </w:p>
    <w:p w:rsidR="00AD3F05" w:rsidRPr="00BC5FE6" w:rsidRDefault="00AD3F05" w:rsidP="00AD3F05">
      <w:pPr>
        <w:ind w:left="12" w:firstLine="708"/>
        <w:jc w:val="both"/>
      </w:pPr>
      <w:r w:rsidRPr="00BC5FE6">
        <w:lastRenderedPageBreak/>
        <w:t>2) В настоящее время объем водопотребления по водопроводу города составляет 26-28 тыс. м</w:t>
      </w:r>
      <w:r w:rsidRPr="00BC5FE6">
        <w:rPr>
          <w:vertAlign w:val="superscript"/>
        </w:rPr>
        <w:t>3</w:t>
      </w:r>
      <w:r w:rsidRPr="00BC5FE6">
        <w:t>/сутки. Проектная мощность очистных сооружений водопровода (ОСВ) 1985 года постройки рассчитана на очистку воды в объеме 26 тыс</w:t>
      </w:r>
      <w:proofErr w:type="gramStart"/>
      <w:r w:rsidRPr="00BC5FE6">
        <w:t>.м</w:t>
      </w:r>
      <w:proofErr w:type="gramEnd"/>
      <w:r w:rsidRPr="00BC5FE6">
        <w:rPr>
          <w:vertAlign w:val="superscript"/>
        </w:rPr>
        <w:t>3</w:t>
      </w:r>
      <w:r w:rsidRPr="00BC5FE6">
        <w:t xml:space="preserve">/сутки. Проектная мощность старых </w:t>
      </w:r>
      <w:proofErr w:type="spellStart"/>
      <w:r w:rsidRPr="00BC5FE6">
        <w:t>фильтро</w:t>
      </w:r>
      <w:proofErr w:type="spellEnd"/>
      <w:r w:rsidRPr="00BC5FE6">
        <w:t>-очистных сооружений (ФОС) 1977 года постройки составляет 9 тыс</w:t>
      </w:r>
      <w:proofErr w:type="gramStart"/>
      <w:r w:rsidRPr="00BC5FE6">
        <w:t>.м</w:t>
      </w:r>
      <w:proofErr w:type="gramEnd"/>
      <w:r w:rsidRPr="00BC5FE6">
        <w:rPr>
          <w:vertAlign w:val="superscript"/>
        </w:rPr>
        <w:t>3</w:t>
      </w:r>
      <w:r w:rsidRPr="00BC5FE6">
        <w:t>/сутки. При этом необходимо отметить,  что в проекты как новых (ОСВ) так и старых (ФОС) были заложены технологии очистки воды, рассчитанные на качественный состав речной воды, отмеченный до начала ведения проектных работ. В настоящее время качество воды ухудшилось практически по всем показателям в 2–2,5 раза. Проектная технология водоподготовки не обеспечивает нормативное качество питьевой воды, регламентируемое СанПиНом «Питьевая вода». Возросла нагрузка на фильтры и контактные осветлители, возросло технологическое водопотребление.  Объем воды для собственных нужд (промывные воды) в период пиковых нагрузок составляет 3тыс</w:t>
      </w:r>
      <w:proofErr w:type="gramStart"/>
      <w:r w:rsidRPr="00BC5FE6">
        <w:t>.м</w:t>
      </w:r>
      <w:proofErr w:type="gramEnd"/>
      <w:r w:rsidRPr="00BC5FE6">
        <w:rPr>
          <w:vertAlign w:val="superscript"/>
        </w:rPr>
        <w:t>3</w:t>
      </w:r>
      <w:r w:rsidRPr="00BC5FE6">
        <w:t xml:space="preserve">/сутки. В перспективе, по завершении строительства водовода, старые ФОС будут полностью переведены на водоснабжение м-на </w:t>
      </w:r>
      <w:proofErr w:type="spellStart"/>
      <w:r w:rsidRPr="00BC5FE6">
        <w:t>Лименда</w:t>
      </w:r>
      <w:proofErr w:type="spellEnd"/>
      <w:r w:rsidRPr="00BC5FE6">
        <w:t>, и имеющейся мощности ОСВ уже будет недостаточно для водоснабжения центральной части города. С перспективной застройкой южного микрорайона города ситуация с нехваткой воды ещё более осложнится, что приведет к подаче воды в город по графику, с перерывами.</w:t>
      </w:r>
    </w:p>
    <w:p w:rsidR="00AD3F05" w:rsidRPr="00BC5FE6" w:rsidRDefault="00AD3F05" w:rsidP="00AD3F05">
      <w:pPr>
        <w:ind w:firstLine="708"/>
        <w:jc w:val="both"/>
      </w:pPr>
    </w:p>
    <w:p w:rsidR="00AD3F05" w:rsidRPr="00BC5FE6" w:rsidRDefault="00AD3F05" w:rsidP="00AD3F05">
      <w:pPr>
        <w:ind w:left="12" w:firstLine="708"/>
        <w:jc w:val="both"/>
      </w:pPr>
      <w:r w:rsidRPr="00BC5FE6">
        <w:t xml:space="preserve">3) Используемая технология обеззараживания воды и стоков основана на применении хлора, закупаемого предприятием у поставщиков. Хлор является сильнодействующим ядовитым веществом, по этой причине предприятию приходится эксплуатировать два опасных производственных объекта (ОПО) – </w:t>
      </w:r>
      <w:proofErr w:type="spellStart"/>
      <w:r w:rsidRPr="00BC5FE6">
        <w:t>хлораторные</w:t>
      </w:r>
      <w:proofErr w:type="spellEnd"/>
      <w:r w:rsidRPr="00BC5FE6">
        <w:t xml:space="preserve"> со складами хранения хлора. Склады хлора выполнены в соответствии с типовым проектом, утвержденным </w:t>
      </w:r>
      <w:proofErr w:type="spellStart"/>
      <w:r w:rsidRPr="00BC5FE6">
        <w:t>Госгражданстроем</w:t>
      </w:r>
      <w:proofErr w:type="spellEnd"/>
      <w:r w:rsidRPr="00BC5FE6">
        <w:t xml:space="preserve"> в 1979 году. Собственной погрузочно-разгрузочной площадки, специально оборудованной для разгрузки баллонов с хлором, предприятие не имеет.</w:t>
      </w:r>
    </w:p>
    <w:p w:rsidR="00AD3F05" w:rsidRPr="00BC5FE6" w:rsidRDefault="00AD3F05" w:rsidP="00AD3F05">
      <w:pPr>
        <w:ind w:left="12" w:firstLine="708"/>
        <w:jc w:val="both"/>
      </w:pPr>
      <w:r w:rsidRPr="00BC5FE6">
        <w:t xml:space="preserve">На сегодняшний день значительно возросли требования безопасности, предъявляемые к ОПО. Оборудование </w:t>
      </w:r>
      <w:proofErr w:type="spellStart"/>
      <w:r w:rsidRPr="00BC5FE6">
        <w:t>хлораторных</w:t>
      </w:r>
      <w:proofErr w:type="spellEnd"/>
      <w:r w:rsidRPr="00BC5FE6">
        <w:t xml:space="preserve"> и складов хранения хлора морально и физически устарело. Типовые проектные решения, приемлемые в 1979 году, в настоящее время не удовлетворяют требованиям действующих Правил безопасности. </w:t>
      </w:r>
    </w:p>
    <w:p w:rsidR="00AD3F05" w:rsidRPr="00BC5FE6" w:rsidRDefault="00AD3F05" w:rsidP="00AD3F05">
      <w:pPr>
        <w:ind w:left="12" w:firstLine="708"/>
        <w:jc w:val="both"/>
      </w:pPr>
      <w:r w:rsidRPr="00BC5FE6">
        <w:t xml:space="preserve">4) По мере возрастающего жилищного строительства и развития инфраструктуры города, реконструкции эксплуатируемого жилищного фонда возрастают потребности не только в увеличении объёмов очистки питьевой </w:t>
      </w:r>
      <w:proofErr w:type="gramStart"/>
      <w:r w:rsidRPr="00BC5FE6">
        <w:t>воды</w:t>
      </w:r>
      <w:proofErr w:type="gramEnd"/>
      <w:r w:rsidRPr="00BC5FE6">
        <w:t xml:space="preserve"> но и обеспечение приема, транспортировки и очистки стоков. В ряду ключевых направлений связанных с решением этой задачи, таких, как увеличение пропускной способности систем приема и транспортировки стоков, увеличения мощности канализационных очистных сооружений, качество очистки и обеззараживания сброса – это первоочередная задача. </w:t>
      </w:r>
    </w:p>
    <w:p w:rsidR="00AD3F05" w:rsidRPr="00BC5FE6" w:rsidRDefault="00AD3F05" w:rsidP="00AD3F05">
      <w:pPr>
        <w:ind w:left="12" w:firstLine="708"/>
        <w:jc w:val="both"/>
      </w:pPr>
    </w:p>
    <w:p w:rsidR="00AD3F05" w:rsidRPr="00BC5FE6" w:rsidRDefault="00AD3F05" w:rsidP="00AD3F05">
      <w:pPr>
        <w:jc w:val="both"/>
        <w:rPr>
          <w:i/>
        </w:rPr>
      </w:pPr>
      <w:r w:rsidRPr="00BC5FE6">
        <w:rPr>
          <w:i/>
        </w:rPr>
        <w:t xml:space="preserve">     Приведенный выше, далеко не полный, перечень наиболее значимых, существующих проблем систем водоснабжения и водоотведения, решение которых, можно разделить на два направления. Первое – это реконструкция сооружений очистки, сооружений забора, приема,  транспортировки и распределения питьевой и сточных вод связанная с увеличением пропускной способности инженерных сетей, строительством и вводом в эксплуатацию новых и расширением существующих сооружений и т.п. Второе – внедрение современных технологий, оборудования, химических реагентов, что позволяет улучшать качество очистки питьевой и сточной вод, в соответствии с требованиями санитарных норм и правил, повышая при этом экологическую безопасность предприятия, снижая затраты и эксплуатационные расходы.</w:t>
      </w:r>
    </w:p>
    <w:p w:rsidR="00AD3F05" w:rsidRPr="00BC5FE6" w:rsidRDefault="00AD3F05" w:rsidP="00AD3F05">
      <w:pPr>
        <w:jc w:val="both"/>
        <w:rPr>
          <w:i/>
        </w:rPr>
      </w:pPr>
      <w:r w:rsidRPr="00BC5FE6">
        <w:rPr>
          <w:i/>
        </w:rPr>
        <w:t xml:space="preserve">     Настоящей инвестиционной программой предлагается решение ряда существующих проблем в процессах очистки и обеззараживания и имеет конечную цель:</w:t>
      </w:r>
    </w:p>
    <w:p w:rsidR="00AD3F05" w:rsidRPr="00BC5FE6" w:rsidRDefault="00AD3F05" w:rsidP="00AD3F05">
      <w:pPr>
        <w:jc w:val="both"/>
        <w:rPr>
          <w:i/>
        </w:rPr>
      </w:pPr>
      <w:r w:rsidRPr="00BC5FE6">
        <w:rPr>
          <w:i/>
        </w:rPr>
        <w:t>- интенсификацию процессов очистки питьевой воды, за счет внедрения современных технологий и разработок, на фоне прогрессирующего ухудшения качества воды в источниках водоснабжения;</w:t>
      </w:r>
    </w:p>
    <w:p w:rsidR="00AD3F05" w:rsidRPr="00BC5FE6" w:rsidRDefault="00AD3F05" w:rsidP="00AD3F05">
      <w:pPr>
        <w:jc w:val="both"/>
        <w:rPr>
          <w:i/>
        </w:rPr>
      </w:pPr>
      <w:r w:rsidRPr="00BC5FE6">
        <w:rPr>
          <w:i/>
        </w:rPr>
        <w:lastRenderedPageBreak/>
        <w:t>-  обеспечения санитарных и экологических требований к сбросу очищенных сточных вод с канализационных очистных сооружений города;</w:t>
      </w:r>
    </w:p>
    <w:p w:rsidR="00AD3F05" w:rsidRPr="00BC5FE6" w:rsidRDefault="00AD3F05" w:rsidP="00AD3F05">
      <w:pPr>
        <w:jc w:val="both"/>
        <w:rPr>
          <w:i/>
        </w:rPr>
      </w:pPr>
      <w:r w:rsidRPr="00BC5FE6">
        <w:rPr>
          <w:i/>
        </w:rPr>
        <w:t>-     ликвидация потенциально – опасных объектов на территории города;</w:t>
      </w:r>
    </w:p>
    <w:p w:rsidR="00AD3F05" w:rsidRDefault="00AD3F05" w:rsidP="00AD3F05">
      <w:pPr>
        <w:jc w:val="both"/>
        <w:rPr>
          <w:i/>
        </w:rPr>
      </w:pPr>
      <w:r w:rsidRPr="00BC5FE6">
        <w:rPr>
          <w:i/>
        </w:rPr>
        <w:t>-   возможность в перспективе без дополнительных затрат увеличивать объёмы очистки;</w:t>
      </w:r>
    </w:p>
    <w:p w:rsidR="00AD3F05" w:rsidRPr="00BC5FE6" w:rsidRDefault="00AD3F05" w:rsidP="00AD3F05">
      <w:pPr>
        <w:jc w:val="both"/>
      </w:pPr>
    </w:p>
    <w:p w:rsidR="00AD3F05" w:rsidRPr="00BC5FE6" w:rsidRDefault="00AD3F05" w:rsidP="00AD3F05">
      <w:pPr>
        <w:pStyle w:val="a8"/>
        <w:numPr>
          <w:ilvl w:val="0"/>
          <w:numId w:val="2"/>
        </w:numPr>
        <w:rPr>
          <w:b/>
        </w:rPr>
      </w:pPr>
      <w:r w:rsidRPr="00BC5FE6">
        <w:rPr>
          <w:b/>
        </w:rPr>
        <w:t>Анализ существующей очистки и обеззараживания питьевой воды  и сточных вод.</w:t>
      </w:r>
    </w:p>
    <w:p w:rsidR="00AD3F05" w:rsidRPr="00BC5FE6" w:rsidRDefault="00AD3F05" w:rsidP="00AD3F05">
      <w:pPr>
        <w:pStyle w:val="a3"/>
        <w:ind w:right="-57" w:firstLine="708"/>
        <w:jc w:val="both"/>
        <w:outlineLvl w:val="0"/>
      </w:pPr>
      <w:r w:rsidRPr="00BC5FE6">
        <w:t xml:space="preserve">Способ очистки исходной воды основан на осветлении её в отстойниках-осветлителях с введением коагулянтов, фильтрации на песчано-гравийных фильтрах, контактных осветлителях и обеззараживании питьевой воды хлором. Степень очистки воды недостаточна из-за перегрузки работы оборудования ОСВ и большой загрязнённости исходной воды рек </w:t>
      </w:r>
      <w:proofErr w:type="spellStart"/>
      <w:r w:rsidRPr="00BC5FE6">
        <w:t>Лименда</w:t>
      </w:r>
      <w:proofErr w:type="spellEnd"/>
      <w:r w:rsidRPr="00BC5FE6">
        <w:t xml:space="preserve"> и </w:t>
      </w:r>
      <w:proofErr w:type="spellStart"/>
      <w:r w:rsidRPr="00BC5FE6">
        <w:t>С.Двина</w:t>
      </w:r>
      <w:proofErr w:type="spellEnd"/>
      <w:r w:rsidRPr="00BC5FE6">
        <w:t>.</w:t>
      </w:r>
    </w:p>
    <w:p w:rsidR="00AD3F05" w:rsidRPr="00BC5FE6" w:rsidRDefault="00AD3F05" w:rsidP="00AD3F05">
      <w:pPr>
        <w:pStyle w:val="a5"/>
        <w:ind w:firstLine="708"/>
        <w:jc w:val="both"/>
        <w:outlineLvl w:val="0"/>
        <w:rPr>
          <w:sz w:val="22"/>
          <w:szCs w:val="22"/>
        </w:rPr>
      </w:pPr>
      <w:r w:rsidRPr="00BC5FE6">
        <w:rPr>
          <w:sz w:val="22"/>
          <w:szCs w:val="22"/>
        </w:rPr>
        <w:t xml:space="preserve">На городских очистных сооружениях канализации сточные воды проходят механическую, полную биологическую обработку и хлорирование на выходе их с КОС перед сбрасыванием в реку </w:t>
      </w:r>
      <w:proofErr w:type="spellStart"/>
      <w:r w:rsidRPr="00BC5FE6">
        <w:rPr>
          <w:sz w:val="22"/>
          <w:szCs w:val="22"/>
        </w:rPr>
        <w:t>Вычегда</w:t>
      </w:r>
      <w:proofErr w:type="spellEnd"/>
      <w:r w:rsidRPr="00BC5FE6">
        <w:rPr>
          <w:sz w:val="22"/>
          <w:szCs w:val="22"/>
        </w:rPr>
        <w:t>.</w:t>
      </w:r>
    </w:p>
    <w:p w:rsidR="00AD3F05" w:rsidRPr="00BC5FE6" w:rsidRDefault="00AD3F05" w:rsidP="00AD3F05">
      <w:pPr>
        <w:pStyle w:val="a5"/>
        <w:ind w:firstLine="708"/>
        <w:jc w:val="both"/>
        <w:outlineLvl w:val="0"/>
        <w:rPr>
          <w:sz w:val="22"/>
          <w:szCs w:val="22"/>
        </w:rPr>
      </w:pPr>
      <w:r w:rsidRPr="00BC5FE6">
        <w:rPr>
          <w:sz w:val="22"/>
          <w:szCs w:val="22"/>
        </w:rPr>
        <w:t>На КОС м-на ДОК из-за неудовлетворительного состояния здания биофильтров сточные воды проходят только механическую очистку и обеззараживание хлорированием. Биофильтры выведены из эксплуатации.</w:t>
      </w:r>
    </w:p>
    <w:p w:rsidR="00AD3F05" w:rsidRPr="00BC5FE6" w:rsidRDefault="00AD3F05" w:rsidP="00AD3F05"/>
    <w:p w:rsidR="00AD3F05" w:rsidRPr="00BC5FE6" w:rsidRDefault="00AD3F05" w:rsidP="00AD3F05">
      <w:pPr>
        <w:pStyle w:val="a8"/>
        <w:numPr>
          <w:ilvl w:val="0"/>
          <w:numId w:val="2"/>
        </w:numPr>
        <w:jc w:val="center"/>
        <w:rPr>
          <w:b/>
        </w:rPr>
      </w:pPr>
      <w:r w:rsidRPr="00BC5FE6">
        <w:rPr>
          <w:b/>
        </w:rPr>
        <w:t>План технических мероприятий, направленных на улучшение качества очистки обеззараживания питьевой воды и сточных вод.</w:t>
      </w:r>
    </w:p>
    <w:p w:rsidR="00AD3F05" w:rsidRPr="00BC5FE6" w:rsidRDefault="00AD3F05" w:rsidP="00AD3F05">
      <w:pPr>
        <w:jc w:val="both"/>
        <w:rPr>
          <w:i/>
        </w:rPr>
      </w:pPr>
      <w:r w:rsidRPr="00BC5FE6">
        <w:t>(</w:t>
      </w:r>
      <w:r w:rsidRPr="00BC5FE6">
        <w:rPr>
          <w:i/>
        </w:rPr>
        <w:t>в редакции Решения Собрания депутатов МО «Котлас» от «18» февраля 2010 г. №89-186-р)</w:t>
      </w:r>
    </w:p>
    <w:p w:rsidR="00AD3F05" w:rsidRPr="00BC5FE6" w:rsidRDefault="00AD3F05" w:rsidP="00AD3F05">
      <w:pPr>
        <w:rPr>
          <w:b/>
        </w:rPr>
      </w:pPr>
    </w:p>
    <w:tbl>
      <w:tblPr>
        <w:tblpPr w:leftFromText="180" w:rightFromText="180" w:vertAnchor="text" w:horzAnchor="margin" w:tblpY="130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995"/>
        <w:gridCol w:w="1800"/>
        <w:gridCol w:w="1765"/>
        <w:gridCol w:w="2132"/>
      </w:tblGrid>
      <w:tr w:rsidR="00AD3F05" w:rsidRPr="00107AE6" w:rsidTr="00E30D14">
        <w:trPr>
          <w:cantSplit/>
          <w:trHeight w:val="1134"/>
        </w:trPr>
        <w:tc>
          <w:tcPr>
            <w:tcW w:w="520" w:type="dxa"/>
            <w:shd w:val="clear" w:color="auto" w:fill="auto"/>
            <w:textDirection w:val="btLr"/>
          </w:tcPr>
          <w:p w:rsidR="00AD3F05" w:rsidRPr="00107AE6" w:rsidRDefault="00AD3F05" w:rsidP="00E30D14">
            <w:pPr>
              <w:ind w:left="113" w:right="113"/>
              <w:rPr>
                <w:b/>
              </w:rPr>
            </w:pPr>
            <w:r w:rsidRPr="00107AE6">
              <w:rPr>
                <w:b/>
              </w:rPr>
              <w:t>№№/</w:t>
            </w:r>
            <w:proofErr w:type="spellStart"/>
            <w:r w:rsidRPr="00107AE6">
              <w:rPr>
                <w:b/>
              </w:rPr>
              <w:t>пп</w:t>
            </w:r>
            <w:proofErr w:type="spellEnd"/>
          </w:p>
        </w:tc>
        <w:tc>
          <w:tcPr>
            <w:tcW w:w="4144" w:type="dxa"/>
            <w:vAlign w:val="center"/>
          </w:tcPr>
          <w:p w:rsidR="00AD3F05" w:rsidRPr="00107AE6" w:rsidRDefault="00AD3F05" w:rsidP="00E30D14">
            <w:pPr>
              <w:jc w:val="center"/>
              <w:rPr>
                <w:b/>
              </w:rPr>
            </w:pPr>
            <w:r w:rsidRPr="00107AE6">
              <w:rPr>
                <w:b/>
              </w:rPr>
              <w:t>Наименование мероприятия</w:t>
            </w:r>
          </w:p>
        </w:tc>
        <w:tc>
          <w:tcPr>
            <w:tcW w:w="1823" w:type="dxa"/>
            <w:vAlign w:val="center"/>
          </w:tcPr>
          <w:p w:rsidR="00AD3F05" w:rsidRPr="00107AE6" w:rsidRDefault="00AD3F05" w:rsidP="00E30D14">
            <w:pPr>
              <w:jc w:val="center"/>
              <w:rPr>
                <w:b/>
              </w:rPr>
            </w:pPr>
            <w:r w:rsidRPr="00107AE6">
              <w:rPr>
                <w:b/>
              </w:rPr>
              <w:t>Срок проведения мероприятия</w:t>
            </w:r>
          </w:p>
        </w:tc>
        <w:tc>
          <w:tcPr>
            <w:tcW w:w="1791" w:type="dxa"/>
            <w:vAlign w:val="center"/>
          </w:tcPr>
          <w:p w:rsidR="00AD3F05" w:rsidRPr="00107AE6" w:rsidRDefault="00AD3F05" w:rsidP="00E30D14">
            <w:pPr>
              <w:jc w:val="center"/>
              <w:rPr>
                <w:b/>
              </w:rPr>
            </w:pPr>
            <w:r w:rsidRPr="00107AE6">
              <w:rPr>
                <w:b/>
              </w:rPr>
              <w:t>Финансовая потребность</w:t>
            </w:r>
          </w:p>
        </w:tc>
        <w:tc>
          <w:tcPr>
            <w:tcW w:w="2153" w:type="dxa"/>
            <w:vAlign w:val="center"/>
          </w:tcPr>
          <w:p w:rsidR="00AD3F05" w:rsidRPr="00107AE6" w:rsidRDefault="00AD3F05" w:rsidP="00E30D14">
            <w:pPr>
              <w:jc w:val="center"/>
              <w:rPr>
                <w:b/>
              </w:rPr>
            </w:pPr>
            <w:r w:rsidRPr="00107AE6">
              <w:rPr>
                <w:b/>
              </w:rPr>
              <w:t>Источники финансирования</w:t>
            </w:r>
          </w:p>
        </w:tc>
      </w:tr>
      <w:tr w:rsidR="00AD3F05" w:rsidRPr="00107AE6" w:rsidTr="00E30D14">
        <w:trPr>
          <w:trHeight w:val="251"/>
        </w:trPr>
        <w:tc>
          <w:tcPr>
            <w:tcW w:w="520" w:type="dxa"/>
            <w:shd w:val="clear" w:color="auto" w:fill="auto"/>
          </w:tcPr>
          <w:p w:rsidR="00AD3F05" w:rsidRPr="00107AE6" w:rsidRDefault="00AD3F05" w:rsidP="00E30D14">
            <w:pPr>
              <w:jc w:val="center"/>
              <w:rPr>
                <w:b/>
              </w:rPr>
            </w:pPr>
            <w:r w:rsidRPr="00107AE6">
              <w:rPr>
                <w:b/>
              </w:rPr>
              <w:t>1</w:t>
            </w:r>
          </w:p>
        </w:tc>
        <w:tc>
          <w:tcPr>
            <w:tcW w:w="4144" w:type="dxa"/>
            <w:vAlign w:val="center"/>
          </w:tcPr>
          <w:p w:rsidR="00AD3F05" w:rsidRPr="00107AE6" w:rsidRDefault="00AD3F05" w:rsidP="00E30D14">
            <w:pPr>
              <w:jc w:val="center"/>
              <w:rPr>
                <w:b/>
              </w:rPr>
            </w:pPr>
            <w:r w:rsidRPr="00107AE6">
              <w:rPr>
                <w:b/>
              </w:rPr>
              <w:t>2</w:t>
            </w:r>
          </w:p>
        </w:tc>
        <w:tc>
          <w:tcPr>
            <w:tcW w:w="1823" w:type="dxa"/>
            <w:vAlign w:val="center"/>
          </w:tcPr>
          <w:p w:rsidR="00AD3F05" w:rsidRPr="00107AE6" w:rsidRDefault="00AD3F05" w:rsidP="00E30D14">
            <w:pPr>
              <w:jc w:val="center"/>
              <w:rPr>
                <w:b/>
              </w:rPr>
            </w:pPr>
            <w:r w:rsidRPr="00107AE6">
              <w:rPr>
                <w:b/>
              </w:rPr>
              <w:t>3</w:t>
            </w:r>
          </w:p>
        </w:tc>
        <w:tc>
          <w:tcPr>
            <w:tcW w:w="1791" w:type="dxa"/>
            <w:vAlign w:val="center"/>
          </w:tcPr>
          <w:p w:rsidR="00AD3F05" w:rsidRPr="00107AE6" w:rsidRDefault="00AD3F05" w:rsidP="00E30D14">
            <w:pPr>
              <w:jc w:val="center"/>
              <w:rPr>
                <w:b/>
              </w:rPr>
            </w:pPr>
            <w:r w:rsidRPr="00107AE6">
              <w:rPr>
                <w:b/>
              </w:rPr>
              <w:t>4</w:t>
            </w:r>
          </w:p>
        </w:tc>
        <w:tc>
          <w:tcPr>
            <w:tcW w:w="2153" w:type="dxa"/>
            <w:vAlign w:val="center"/>
          </w:tcPr>
          <w:p w:rsidR="00AD3F05" w:rsidRPr="00107AE6" w:rsidRDefault="00AD3F05" w:rsidP="00E30D14">
            <w:pPr>
              <w:jc w:val="center"/>
              <w:rPr>
                <w:b/>
              </w:rPr>
            </w:pPr>
            <w:r w:rsidRPr="00107AE6">
              <w:rPr>
                <w:b/>
              </w:rPr>
              <w:t>5</w:t>
            </w:r>
          </w:p>
        </w:tc>
      </w:tr>
      <w:tr w:rsidR="00AD3F05" w:rsidRPr="00107AE6" w:rsidTr="00E30D14">
        <w:trPr>
          <w:trHeight w:val="171"/>
        </w:trPr>
        <w:tc>
          <w:tcPr>
            <w:tcW w:w="520" w:type="dxa"/>
            <w:shd w:val="clear" w:color="auto" w:fill="auto"/>
          </w:tcPr>
          <w:p w:rsidR="00AD3F05" w:rsidRPr="00107AE6" w:rsidRDefault="00AD3F05" w:rsidP="00E30D14">
            <w:pPr>
              <w:jc w:val="center"/>
            </w:pPr>
            <w:r w:rsidRPr="00107AE6">
              <w:t>1.</w:t>
            </w:r>
          </w:p>
        </w:tc>
        <w:tc>
          <w:tcPr>
            <w:tcW w:w="4144" w:type="dxa"/>
            <w:vAlign w:val="center"/>
          </w:tcPr>
          <w:p w:rsidR="00AD3F05" w:rsidRPr="00107AE6" w:rsidRDefault="00AD3F05" w:rsidP="00E30D14">
            <w:r w:rsidRPr="00107AE6">
              <w:t xml:space="preserve">Разработка проектно-сметной документации на реконструкцию системы очистки и обеззараживания питьевой воды на объектах предприятия с переходом на ультрафиолетовые и электрохимические установки для получения смеси </w:t>
            </w:r>
            <w:proofErr w:type="spellStart"/>
            <w:r w:rsidRPr="00107AE6">
              <w:t>оксидантов</w:t>
            </w:r>
            <w:proofErr w:type="spellEnd"/>
            <w:r w:rsidRPr="00107AE6">
              <w:t>.</w:t>
            </w:r>
          </w:p>
        </w:tc>
        <w:tc>
          <w:tcPr>
            <w:tcW w:w="1823" w:type="dxa"/>
            <w:vAlign w:val="center"/>
          </w:tcPr>
          <w:p w:rsidR="00AD3F05" w:rsidRPr="00107AE6" w:rsidRDefault="00AD3F05" w:rsidP="00E30D14">
            <w:pPr>
              <w:jc w:val="center"/>
            </w:pPr>
            <w:r w:rsidRPr="00107AE6">
              <w:rPr>
                <w:lang w:val="en-US"/>
              </w:rPr>
              <w:t>I</w:t>
            </w:r>
            <w:r w:rsidRPr="00107AE6">
              <w:t>-</w:t>
            </w:r>
            <w:r w:rsidRPr="00107AE6">
              <w:rPr>
                <w:lang w:val="en-US"/>
              </w:rPr>
              <w:t>II</w:t>
            </w:r>
            <w:r w:rsidRPr="00107AE6">
              <w:t xml:space="preserve"> кв. 2010г.</w:t>
            </w:r>
          </w:p>
        </w:tc>
        <w:tc>
          <w:tcPr>
            <w:tcW w:w="1791" w:type="dxa"/>
            <w:vAlign w:val="center"/>
          </w:tcPr>
          <w:p w:rsidR="00AD3F05" w:rsidRPr="00107AE6" w:rsidRDefault="00AD3F05" w:rsidP="00E30D14">
            <w:r w:rsidRPr="00107AE6">
              <w:t>1,36млн</w:t>
            </w:r>
            <w:proofErr w:type="gramStart"/>
            <w:r w:rsidRPr="00107AE6">
              <w:t>.р</w:t>
            </w:r>
            <w:proofErr w:type="gramEnd"/>
            <w:r w:rsidRPr="00107AE6">
              <w:t>уб.</w:t>
            </w:r>
          </w:p>
        </w:tc>
        <w:tc>
          <w:tcPr>
            <w:tcW w:w="2153" w:type="dxa"/>
            <w:vAlign w:val="center"/>
          </w:tcPr>
          <w:p w:rsidR="00AD3F05" w:rsidRPr="00107AE6" w:rsidRDefault="00AD3F05" w:rsidP="00E30D14">
            <w:pPr>
              <w:jc w:val="center"/>
            </w:pPr>
            <w:r w:rsidRPr="00107AE6">
              <w:t>1. Надбавка к тарифу (инвестиционная составляющая)</w:t>
            </w:r>
          </w:p>
        </w:tc>
      </w:tr>
      <w:tr w:rsidR="00AD3F05" w:rsidRPr="00107AE6" w:rsidTr="00E30D14">
        <w:trPr>
          <w:trHeight w:val="171"/>
        </w:trPr>
        <w:tc>
          <w:tcPr>
            <w:tcW w:w="520" w:type="dxa"/>
            <w:shd w:val="clear" w:color="auto" w:fill="auto"/>
          </w:tcPr>
          <w:p w:rsidR="00AD3F05" w:rsidRPr="00107AE6" w:rsidRDefault="00AD3F05" w:rsidP="00E30D14">
            <w:pPr>
              <w:jc w:val="center"/>
            </w:pPr>
            <w:r w:rsidRPr="00107AE6">
              <w:t>2.</w:t>
            </w:r>
          </w:p>
        </w:tc>
        <w:tc>
          <w:tcPr>
            <w:tcW w:w="4144" w:type="dxa"/>
            <w:vAlign w:val="center"/>
          </w:tcPr>
          <w:p w:rsidR="00AD3F05" w:rsidRPr="00107AE6" w:rsidRDefault="00AD3F05" w:rsidP="00E30D14">
            <w:proofErr w:type="gramStart"/>
            <w:r w:rsidRPr="00107AE6">
              <w:t>Разработка проектно-сметной документации на реконструкцию системы очистки и обеззараживания сточных вод на КОС с переходом на ультрафиолетовые установки.</w:t>
            </w:r>
            <w:proofErr w:type="gramEnd"/>
          </w:p>
        </w:tc>
        <w:tc>
          <w:tcPr>
            <w:tcW w:w="1823" w:type="dxa"/>
            <w:vAlign w:val="center"/>
          </w:tcPr>
          <w:p w:rsidR="00AD3F05" w:rsidRPr="00107AE6" w:rsidRDefault="00AD3F05" w:rsidP="00E30D14">
            <w:pPr>
              <w:jc w:val="both"/>
            </w:pPr>
            <w:r w:rsidRPr="00107AE6">
              <w:rPr>
                <w:lang w:val="en-US"/>
              </w:rPr>
              <w:t>I-II</w:t>
            </w:r>
            <w:r w:rsidRPr="00107AE6">
              <w:t xml:space="preserve"> кв. 2010г.</w:t>
            </w:r>
          </w:p>
        </w:tc>
        <w:tc>
          <w:tcPr>
            <w:tcW w:w="1791" w:type="dxa"/>
            <w:vAlign w:val="center"/>
          </w:tcPr>
          <w:p w:rsidR="00AD3F05" w:rsidRPr="00107AE6" w:rsidRDefault="00AD3F05" w:rsidP="00E30D14">
            <w:pPr>
              <w:jc w:val="both"/>
            </w:pPr>
            <w:r w:rsidRPr="00107AE6">
              <w:t>0,9млн</w:t>
            </w:r>
            <w:proofErr w:type="gramStart"/>
            <w:r w:rsidRPr="00107AE6">
              <w:t>.р</w:t>
            </w:r>
            <w:proofErr w:type="gramEnd"/>
            <w:r w:rsidRPr="00107AE6">
              <w:t>уб.</w:t>
            </w:r>
          </w:p>
        </w:tc>
        <w:tc>
          <w:tcPr>
            <w:tcW w:w="2153" w:type="dxa"/>
            <w:vAlign w:val="center"/>
          </w:tcPr>
          <w:p w:rsidR="00AD3F05" w:rsidRPr="00107AE6" w:rsidRDefault="00AD3F05" w:rsidP="00E30D14">
            <w:pPr>
              <w:jc w:val="center"/>
            </w:pPr>
            <w:r w:rsidRPr="00107AE6">
              <w:t>1. Надбавка к тарифу (инвестиционная составляющая)</w:t>
            </w:r>
          </w:p>
        </w:tc>
      </w:tr>
      <w:tr w:rsidR="00AD3F05" w:rsidRPr="00107AE6" w:rsidTr="00E30D14">
        <w:trPr>
          <w:trHeight w:val="171"/>
        </w:trPr>
        <w:tc>
          <w:tcPr>
            <w:tcW w:w="520" w:type="dxa"/>
            <w:shd w:val="clear" w:color="auto" w:fill="auto"/>
          </w:tcPr>
          <w:p w:rsidR="00AD3F05" w:rsidRPr="00107AE6" w:rsidRDefault="00AD3F05" w:rsidP="00E30D14">
            <w:pPr>
              <w:jc w:val="center"/>
            </w:pPr>
            <w:r w:rsidRPr="00107AE6">
              <w:t>3.</w:t>
            </w:r>
          </w:p>
        </w:tc>
        <w:tc>
          <w:tcPr>
            <w:tcW w:w="4144" w:type="dxa"/>
            <w:vAlign w:val="center"/>
          </w:tcPr>
          <w:p w:rsidR="00AD3F05" w:rsidRPr="00107AE6" w:rsidRDefault="00AD3F05" w:rsidP="00E30D14">
            <w:r w:rsidRPr="00107AE6">
              <w:t xml:space="preserve">Разработка проектно-сметной документации на внедрение технологии удаления избыточного </w:t>
            </w:r>
            <w:r w:rsidRPr="00107AE6">
              <w:rPr>
                <w:lang w:val="en-US"/>
              </w:rPr>
              <w:t>Fe</w:t>
            </w:r>
            <w:r w:rsidRPr="00107AE6">
              <w:t xml:space="preserve"> (обезжелезивание)</w:t>
            </w:r>
          </w:p>
        </w:tc>
        <w:tc>
          <w:tcPr>
            <w:tcW w:w="1823" w:type="dxa"/>
            <w:vAlign w:val="center"/>
          </w:tcPr>
          <w:p w:rsidR="00AD3F05" w:rsidRPr="00107AE6" w:rsidRDefault="00AD3F05" w:rsidP="00E30D14">
            <w:pPr>
              <w:jc w:val="both"/>
            </w:pPr>
            <w:r w:rsidRPr="00107AE6">
              <w:rPr>
                <w:lang w:val="en-US"/>
              </w:rPr>
              <w:t>III</w:t>
            </w:r>
            <w:r w:rsidRPr="00107AE6">
              <w:t>-</w:t>
            </w:r>
            <w:r w:rsidRPr="00107AE6">
              <w:rPr>
                <w:lang w:val="en-US"/>
              </w:rPr>
              <w:t>IV</w:t>
            </w:r>
            <w:r w:rsidRPr="00107AE6">
              <w:t>кв.2010 г.</w:t>
            </w:r>
          </w:p>
        </w:tc>
        <w:tc>
          <w:tcPr>
            <w:tcW w:w="1791" w:type="dxa"/>
            <w:vAlign w:val="center"/>
          </w:tcPr>
          <w:p w:rsidR="00AD3F05" w:rsidRPr="00107AE6" w:rsidRDefault="00AD3F05" w:rsidP="00E30D14">
            <w:pPr>
              <w:jc w:val="both"/>
            </w:pPr>
            <w:r w:rsidRPr="00107AE6">
              <w:t>2,1млн</w:t>
            </w:r>
            <w:proofErr w:type="gramStart"/>
            <w:r w:rsidRPr="00107AE6">
              <w:t>.р</w:t>
            </w:r>
            <w:proofErr w:type="gramEnd"/>
            <w:r w:rsidRPr="00107AE6">
              <w:t>уб</w:t>
            </w:r>
          </w:p>
        </w:tc>
        <w:tc>
          <w:tcPr>
            <w:tcW w:w="2153" w:type="dxa"/>
            <w:vAlign w:val="center"/>
          </w:tcPr>
          <w:p w:rsidR="00AD3F05" w:rsidRPr="00107AE6" w:rsidRDefault="00AD3F05" w:rsidP="00E30D14">
            <w:pPr>
              <w:jc w:val="center"/>
            </w:pPr>
            <w:r w:rsidRPr="00107AE6">
              <w:t>1. Надбавка к тарифу (инвестиционная составляющая)</w:t>
            </w:r>
          </w:p>
        </w:tc>
      </w:tr>
      <w:tr w:rsidR="00AD3F05" w:rsidRPr="00107AE6" w:rsidTr="00E30D14">
        <w:trPr>
          <w:trHeight w:val="171"/>
        </w:trPr>
        <w:tc>
          <w:tcPr>
            <w:tcW w:w="520" w:type="dxa"/>
            <w:shd w:val="clear" w:color="auto" w:fill="auto"/>
          </w:tcPr>
          <w:p w:rsidR="00AD3F05" w:rsidRPr="00107AE6" w:rsidRDefault="00AD3F05" w:rsidP="00E30D14">
            <w:pPr>
              <w:jc w:val="center"/>
            </w:pPr>
            <w:r w:rsidRPr="00107AE6">
              <w:lastRenderedPageBreak/>
              <w:t>4.</w:t>
            </w:r>
          </w:p>
        </w:tc>
        <w:tc>
          <w:tcPr>
            <w:tcW w:w="4144" w:type="dxa"/>
            <w:vAlign w:val="center"/>
          </w:tcPr>
          <w:p w:rsidR="00AD3F05" w:rsidRPr="00107AE6" w:rsidRDefault="00AD3F05" w:rsidP="00E30D14">
            <w:r w:rsidRPr="00107AE6">
              <w:t xml:space="preserve">Выполнение работ по реконструкции системы очистки и обеззараживания, обезжелезивания питьевой воды на городских очистных сооружениях водопровода с переходом на ультрафиолетовые (1 ступень) и электрохимические установки для получения смеси </w:t>
            </w:r>
            <w:proofErr w:type="spellStart"/>
            <w:r w:rsidRPr="00107AE6">
              <w:t>оксидантов</w:t>
            </w:r>
            <w:proofErr w:type="spellEnd"/>
            <w:r w:rsidRPr="00107AE6">
              <w:t xml:space="preserve"> (2 ступень очистки и обеззараживания).</w:t>
            </w:r>
          </w:p>
        </w:tc>
        <w:tc>
          <w:tcPr>
            <w:tcW w:w="1823" w:type="dxa"/>
            <w:vAlign w:val="center"/>
          </w:tcPr>
          <w:p w:rsidR="00AD3F05" w:rsidRPr="00107AE6" w:rsidRDefault="00AD3F05" w:rsidP="00E30D14">
            <w:pPr>
              <w:jc w:val="both"/>
            </w:pPr>
            <w:r w:rsidRPr="00107AE6">
              <w:t xml:space="preserve"> 2010 - 2012г.г.</w:t>
            </w:r>
          </w:p>
        </w:tc>
        <w:tc>
          <w:tcPr>
            <w:tcW w:w="1791" w:type="dxa"/>
            <w:vAlign w:val="center"/>
          </w:tcPr>
          <w:p w:rsidR="00AD3F05" w:rsidRPr="00107AE6" w:rsidRDefault="00AD3F05" w:rsidP="00E30D14">
            <w:pPr>
              <w:ind w:right="-38"/>
              <w:jc w:val="both"/>
            </w:pPr>
            <w:r w:rsidRPr="00107AE6">
              <w:t>10,0млн</w:t>
            </w:r>
            <w:proofErr w:type="gramStart"/>
            <w:r w:rsidRPr="00107AE6">
              <w:t>.р</w:t>
            </w:r>
            <w:proofErr w:type="gramEnd"/>
            <w:r w:rsidRPr="00107AE6">
              <w:t>уб.</w:t>
            </w:r>
          </w:p>
        </w:tc>
        <w:tc>
          <w:tcPr>
            <w:tcW w:w="2153" w:type="dxa"/>
            <w:vAlign w:val="center"/>
          </w:tcPr>
          <w:p w:rsidR="00AD3F05" w:rsidRPr="00107AE6" w:rsidRDefault="00AD3F05" w:rsidP="00E30D14">
            <w:pPr>
              <w:jc w:val="center"/>
            </w:pPr>
            <w:r w:rsidRPr="00107AE6">
              <w:t>1. Надбавка к тарифу (инвестиционная составляющая)</w:t>
            </w:r>
          </w:p>
        </w:tc>
      </w:tr>
      <w:tr w:rsidR="00AD3F05" w:rsidRPr="00107AE6" w:rsidTr="00E30D14">
        <w:trPr>
          <w:trHeight w:val="171"/>
        </w:trPr>
        <w:tc>
          <w:tcPr>
            <w:tcW w:w="520" w:type="dxa"/>
            <w:shd w:val="clear" w:color="auto" w:fill="auto"/>
          </w:tcPr>
          <w:p w:rsidR="00AD3F05" w:rsidRPr="00107AE6" w:rsidRDefault="00AD3F05" w:rsidP="00E30D14">
            <w:pPr>
              <w:jc w:val="center"/>
            </w:pPr>
            <w:r w:rsidRPr="00107AE6">
              <w:t>5.</w:t>
            </w:r>
          </w:p>
        </w:tc>
        <w:tc>
          <w:tcPr>
            <w:tcW w:w="4144" w:type="dxa"/>
            <w:vAlign w:val="center"/>
          </w:tcPr>
          <w:p w:rsidR="00AD3F05" w:rsidRPr="00107AE6" w:rsidRDefault="00AD3F05" w:rsidP="00E30D14">
            <w:r w:rsidRPr="00107AE6">
              <w:t>Выполнение работ по реконструкции системы очистки и обеззараживания сточных вод на городских канализационных очистных сооружениях с переходом на ультрафиолетовые установки.</w:t>
            </w:r>
          </w:p>
        </w:tc>
        <w:tc>
          <w:tcPr>
            <w:tcW w:w="1823" w:type="dxa"/>
            <w:vAlign w:val="center"/>
          </w:tcPr>
          <w:p w:rsidR="00AD3F05" w:rsidRPr="00107AE6" w:rsidRDefault="00AD3F05" w:rsidP="00E30D14">
            <w:pPr>
              <w:jc w:val="both"/>
            </w:pPr>
            <w:r w:rsidRPr="00107AE6">
              <w:t>2010 - 2012г.г.</w:t>
            </w:r>
          </w:p>
        </w:tc>
        <w:tc>
          <w:tcPr>
            <w:tcW w:w="1791" w:type="dxa"/>
            <w:vAlign w:val="center"/>
          </w:tcPr>
          <w:p w:rsidR="00AD3F05" w:rsidRPr="00107AE6" w:rsidRDefault="00AD3F05" w:rsidP="00E30D14">
            <w:pPr>
              <w:ind w:right="-38"/>
              <w:jc w:val="both"/>
            </w:pPr>
            <w:r w:rsidRPr="00107AE6">
              <w:t>9,6млн</w:t>
            </w:r>
            <w:proofErr w:type="gramStart"/>
            <w:r w:rsidRPr="00107AE6">
              <w:t>.р</w:t>
            </w:r>
            <w:proofErr w:type="gramEnd"/>
            <w:r w:rsidRPr="00107AE6">
              <w:t>уб.</w:t>
            </w:r>
          </w:p>
        </w:tc>
        <w:tc>
          <w:tcPr>
            <w:tcW w:w="2153" w:type="dxa"/>
            <w:vAlign w:val="center"/>
          </w:tcPr>
          <w:p w:rsidR="00AD3F05" w:rsidRPr="00107AE6" w:rsidRDefault="00AD3F05" w:rsidP="00E30D14">
            <w:pPr>
              <w:jc w:val="center"/>
            </w:pPr>
            <w:r w:rsidRPr="00107AE6">
              <w:t>1. Надбавка к тарифу (инвестиционная составляющая)</w:t>
            </w:r>
          </w:p>
        </w:tc>
      </w:tr>
      <w:tr w:rsidR="00AD3F05" w:rsidRPr="00107AE6" w:rsidTr="00E30D14">
        <w:trPr>
          <w:trHeight w:val="171"/>
        </w:trPr>
        <w:tc>
          <w:tcPr>
            <w:tcW w:w="520" w:type="dxa"/>
            <w:shd w:val="clear" w:color="auto" w:fill="auto"/>
          </w:tcPr>
          <w:p w:rsidR="00AD3F05" w:rsidRPr="00107AE6" w:rsidRDefault="00AD3F05" w:rsidP="00E30D14">
            <w:pPr>
              <w:jc w:val="center"/>
            </w:pPr>
            <w:r w:rsidRPr="00107AE6">
              <w:t>6.</w:t>
            </w:r>
          </w:p>
        </w:tc>
        <w:tc>
          <w:tcPr>
            <w:tcW w:w="4144" w:type="dxa"/>
            <w:vAlign w:val="center"/>
          </w:tcPr>
          <w:p w:rsidR="00AD3F05" w:rsidRPr="00107AE6" w:rsidRDefault="00AD3F05" w:rsidP="00E30D14">
            <w:r w:rsidRPr="00107AE6">
              <w:t xml:space="preserve">  Завершение работ по реконструкции, проведение пусконаладочных работ, выполнение работ по реконструкции системы очистки и обеззараживания, обезжелезивания  питьевой воды на очистных сооружениях водопровода м-на ДОК с переходом на ультрафиолетовые (1 ступень) и электрохимические установки </w:t>
            </w:r>
            <w:proofErr w:type="gramStart"/>
            <w:r w:rsidRPr="00107AE6">
              <w:t>для</w:t>
            </w:r>
            <w:proofErr w:type="gramEnd"/>
          </w:p>
          <w:p w:rsidR="00AD3F05" w:rsidRPr="00107AE6" w:rsidRDefault="00AD3F05" w:rsidP="00E30D14">
            <w:r w:rsidRPr="00107AE6">
              <w:t xml:space="preserve">получения смеси </w:t>
            </w:r>
            <w:proofErr w:type="spellStart"/>
            <w:r w:rsidRPr="00107AE6">
              <w:t>оксидантов</w:t>
            </w:r>
            <w:proofErr w:type="spellEnd"/>
            <w:r w:rsidRPr="00107AE6">
              <w:t xml:space="preserve"> (2 ступень очистки и обеззараживания).</w:t>
            </w:r>
          </w:p>
        </w:tc>
        <w:tc>
          <w:tcPr>
            <w:tcW w:w="1823" w:type="dxa"/>
            <w:vAlign w:val="center"/>
          </w:tcPr>
          <w:p w:rsidR="00AD3F05" w:rsidRPr="00107AE6" w:rsidRDefault="00AD3F05" w:rsidP="00E30D14">
            <w:pPr>
              <w:jc w:val="both"/>
            </w:pPr>
            <w:r w:rsidRPr="00107AE6">
              <w:rPr>
                <w:lang w:val="en-US"/>
              </w:rPr>
              <w:t>IV</w:t>
            </w:r>
            <w:r w:rsidRPr="00107AE6">
              <w:t>кв. 2012г.</w:t>
            </w:r>
          </w:p>
        </w:tc>
        <w:tc>
          <w:tcPr>
            <w:tcW w:w="1791" w:type="dxa"/>
            <w:vAlign w:val="center"/>
          </w:tcPr>
          <w:p w:rsidR="00AD3F05" w:rsidRPr="00107AE6" w:rsidRDefault="00AD3F05" w:rsidP="00E30D14">
            <w:pPr>
              <w:jc w:val="both"/>
            </w:pPr>
            <w:r w:rsidRPr="00107AE6">
              <w:t xml:space="preserve">1,2 </w:t>
            </w:r>
            <w:proofErr w:type="spellStart"/>
            <w:r w:rsidRPr="00107AE6">
              <w:t>млн</w:t>
            </w:r>
            <w:proofErr w:type="gramStart"/>
            <w:r w:rsidRPr="00107AE6">
              <w:t>.р</w:t>
            </w:r>
            <w:proofErr w:type="gramEnd"/>
            <w:r w:rsidRPr="00107AE6">
              <w:t>уб</w:t>
            </w:r>
            <w:proofErr w:type="spellEnd"/>
            <w:r w:rsidRPr="00107AE6">
              <w:t>.</w:t>
            </w:r>
          </w:p>
        </w:tc>
        <w:tc>
          <w:tcPr>
            <w:tcW w:w="2153" w:type="dxa"/>
            <w:vAlign w:val="center"/>
          </w:tcPr>
          <w:p w:rsidR="00AD3F05" w:rsidRPr="00107AE6" w:rsidRDefault="00AD3F05" w:rsidP="00E30D14">
            <w:pPr>
              <w:jc w:val="center"/>
            </w:pPr>
            <w:r w:rsidRPr="00107AE6">
              <w:t>1. Надбавка к тарифу (инвестиционная составляющая)</w:t>
            </w:r>
          </w:p>
        </w:tc>
      </w:tr>
      <w:tr w:rsidR="00AD3F05" w:rsidRPr="00107AE6" w:rsidTr="00E30D14">
        <w:trPr>
          <w:gridAfter w:val="1"/>
          <w:wAfter w:w="2153" w:type="dxa"/>
          <w:trHeight w:val="268"/>
        </w:trPr>
        <w:tc>
          <w:tcPr>
            <w:tcW w:w="8278" w:type="dxa"/>
            <w:gridSpan w:val="4"/>
            <w:shd w:val="clear" w:color="auto" w:fill="F3F3F3"/>
          </w:tcPr>
          <w:p w:rsidR="00AD3F05" w:rsidRPr="00107AE6" w:rsidRDefault="00AD3F05" w:rsidP="00E30D14">
            <w:pPr>
              <w:shd w:val="clear" w:color="auto" w:fill="FFFFFF"/>
              <w:tabs>
                <w:tab w:val="left" w:pos="6698"/>
              </w:tabs>
              <w:ind w:left="228"/>
              <w:jc w:val="both"/>
              <w:rPr>
                <w:b/>
              </w:rPr>
            </w:pPr>
            <w:r w:rsidRPr="00107AE6">
              <w:rPr>
                <w:b/>
              </w:rPr>
              <w:t xml:space="preserve">Итого:                                                                                           25,4 </w:t>
            </w:r>
            <w:proofErr w:type="spellStart"/>
            <w:r w:rsidRPr="00107AE6">
              <w:rPr>
                <w:b/>
              </w:rPr>
              <w:t>млн</w:t>
            </w:r>
            <w:proofErr w:type="gramStart"/>
            <w:r w:rsidRPr="00107AE6">
              <w:rPr>
                <w:b/>
              </w:rPr>
              <w:t>..</w:t>
            </w:r>
            <w:proofErr w:type="gramEnd"/>
            <w:r w:rsidRPr="00107AE6">
              <w:rPr>
                <w:b/>
              </w:rPr>
              <w:t>рублей</w:t>
            </w:r>
            <w:proofErr w:type="spellEnd"/>
            <w:r w:rsidRPr="00107AE6">
              <w:rPr>
                <w:b/>
              </w:rPr>
              <w:t>.</w:t>
            </w:r>
          </w:p>
        </w:tc>
      </w:tr>
    </w:tbl>
    <w:p w:rsidR="00AD3F05" w:rsidRPr="0070777B" w:rsidRDefault="00AD3F05" w:rsidP="00AD3F05">
      <w:pPr>
        <w:shd w:val="clear" w:color="auto" w:fill="FFFFFF"/>
        <w:rPr>
          <w:b/>
          <w:sz w:val="28"/>
          <w:szCs w:val="28"/>
        </w:rPr>
      </w:pPr>
    </w:p>
    <w:p w:rsidR="00AD3F05" w:rsidRDefault="00AD3F05" w:rsidP="00AD3F05">
      <w:pPr>
        <w:rPr>
          <w:sz w:val="28"/>
          <w:szCs w:val="28"/>
        </w:rPr>
      </w:pPr>
    </w:p>
    <w:p w:rsidR="00AD3F05" w:rsidRPr="00BC5FE6" w:rsidRDefault="00AD3F05" w:rsidP="00AD3F05">
      <w:pPr>
        <w:shd w:val="clear" w:color="auto" w:fill="FFFFFF"/>
        <w:spacing w:before="264" w:line="274" w:lineRule="exact"/>
        <w:ind w:left="14" w:firstLine="523"/>
        <w:jc w:val="both"/>
      </w:pPr>
      <w:r w:rsidRPr="00BC5FE6">
        <w:rPr>
          <w:rFonts w:ascii="Times New Roman" w:eastAsia="Times New Roman" w:hAnsi="Times New Roman"/>
          <w:spacing w:val="-11"/>
        </w:rPr>
        <w:t>В план технических мероприятий инвестиционной программы МП «</w:t>
      </w:r>
      <w:proofErr w:type="spellStart"/>
      <w:r w:rsidRPr="00BC5FE6">
        <w:rPr>
          <w:rFonts w:ascii="Times New Roman" w:eastAsia="Times New Roman" w:hAnsi="Times New Roman"/>
          <w:spacing w:val="-11"/>
        </w:rPr>
        <w:t>Горводоканал</w:t>
      </w:r>
      <w:proofErr w:type="spellEnd"/>
      <w:r w:rsidRPr="00BC5FE6">
        <w:rPr>
          <w:rFonts w:ascii="Times New Roman" w:eastAsia="Times New Roman" w:hAnsi="Times New Roman"/>
          <w:spacing w:val="-11"/>
        </w:rPr>
        <w:t xml:space="preserve">» </w:t>
      </w:r>
      <w:r w:rsidRPr="00BC5FE6">
        <w:rPr>
          <w:rFonts w:ascii="Times New Roman" w:eastAsia="Times New Roman" w:hAnsi="Times New Roman"/>
          <w:spacing w:val="-8"/>
        </w:rPr>
        <w:t xml:space="preserve">включены' мероприятия на реконструкцию системы очистки и обеззараживания питьевой </w:t>
      </w:r>
      <w:r w:rsidRPr="00BC5FE6">
        <w:rPr>
          <w:rFonts w:ascii="Times New Roman" w:eastAsia="Times New Roman" w:hAnsi="Times New Roman"/>
        </w:rPr>
        <w:t>воды и сточных вод, которые реализуются в течение трех лет.</w:t>
      </w:r>
    </w:p>
    <w:p w:rsidR="00AD3F05" w:rsidRPr="00BC5FE6" w:rsidRDefault="00AD3F05" w:rsidP="00AD3F05">
      <w:pPr>
        <w:shd w:val="clear" w:color="auto" w:fill="FFFFFF"/>
        <w:spacing w:line="274" w:lineRule="exact"/>
        <w:ind w:left="10" w:firstLine="518"/>
        <w:jc w:val="both"/>
      </w:pPr>
      <w:r w:rsidRPr="00BC5FE6">
        <w:rPr>
          <w:rFonts w:ascii="Times New Roman" w:eastAsia="Times New Roman" w:hAnsi="Times New Roman"/>
          <w:spacing w:val="-9"/>
        </w:rPr>
        <w:t xml:space="preserve">При расчете финансовых потребностей учтены расходы, связанные с проведением </w:t>
      </w:r>
      <w:r w:rsidRPr="00BC5FE6">
        <w:rPr>
          <w:rFonts w:ascii="Times New Roman" w:eastAsia="Times New Roman" w:hAnsi="Times New Roman"/>
          <w:spacing w:val="-11"/>
        </w:rPr>
        <w:t>проектных работ, приобретением оборудования, монтажных и пусконаладочных работ.</w:t>
      </w:r>
    </w:p>
    <w:p w:rsidR="00AD3F05" w:rsidRPr="00BC5FE6" w:rsidRDefault="00AD3F05" w:rsidP="00AD3F05">
      <w:pPr>
        <w:shd w:val="clear" w:color="auto" w:fill="FFFFFF"/>
        <w:spacing w:line="274" w:lineRule="exact"/>
        <w:ind w:right="5" w:firstLine="528"/>
        <w:jc w:val="both"/>
      </w:pPr>
      <w:r w:rsidRPr="00BC5FE6">
        <w:rPr>
          <w:rFonts w:ascii="Times New Roman" w:eastAsia="Times New Roman" w:hAnsi="Times New Roman"/>
          <w:spacing w:val="-12"/>
        </w:rPr>
        <w:t xml:space="preserve">Общий объем финансовых потребностей на реализацию инвестиционной программы определен посредством суммирования финансовых потребностей на реализацию каждого </w:t>
      </w:r>
      <w:r w:rsidRPr="00BC5FE6">
        <w:rPr>
          <w:rFonts w:ascii="Times New Roman" w:eastAsia="Times New Roman" w:hAnsi="Times New Roman"/>
        </w:rPr>
        <w:t>мероприятия программы.</w:t>
      </w:r>
    </w:p>
    <w:p w:rsidR="00AD3F05" w:rsidRPr="00BC5FE6" w:rsidRDefault="00AD3F05" w:rsidP="00AD3F05">
      <w:pPr>
        <w:shd w:val="clear" w:color="auto" w:fill="FFFFFF"/>
        <w:spacing w:line="274" w:lineRule="exact"/>
        <w:ind w:left="5" w:right="14" w:firstLine="518"/>
        <w:jc w:val="both"/>
      </w:pPr>
      <w:r w:rsidRPr="00BC5FE6">
        <w:rPr>
          <w:rFonts w:ascii="Times New Roman" w:eastAsia="Times New Roman" w:hAnsi="Times New Roman"/>
          <w:spacing w:val="-12"/>
        </w:rPr>
        <w:t xml:space="preserve">Источником финансирования всех мероприятий инвестиционной программы является </w:t>
      </w:r>
      <w:r w:rsidRPr="00BC5FE6">
        <w:rPr>
          <w:rFonts w:ascii="Times New Roman" w:eastAsia="Times New Roman" w:hAnsi="Times New Roman"/>
        </w:rPr>
        <w:t>надбавка к тарифу.</w:t>
      </w:r>
    </w:p>
    <w:p w:rsidR="00AD3F05" w:rsidRPr="00BC5FE6" w:rsidRDefault="00AD3F05" w:rsidP="00AD3F05">
      <w:pPr>
        <w:shd w:val="clear" w:color="auto" w:fill="FFFFFF"/>
        <w:spacing w:line="274" w:lineRule="exact"/>
        <w:ind w:left="5" w:right="10" w:firstLine="523"/>
        <w:jc w:val="both"/>
      </w:pPr>
      <w:proofErr w:type="gramStart"/>
      <w:r w:rsidRPr="00BC5FE6">
        <w:rPr>
          <w:rFonts w:ascii="Times New Roman" w:eastAsia="Times New Roman" w:hAnsi="Times New Roman"/>
        </w:rPr>
        <w:t xml:space="preserve">Сметы стоимости проектных работ на реконструкцию системы очистки и </w:t>
      </w:r>
      <w:r w:rsidRPr="00BC5FE6">
        <w:rPr>
          <w:rFonts w:ascii="Times New Roman" w:eastAsia="Times New Roman" w:hAnsi="Times New Roman"/>
          <w:spacing w:val="-12"/>
        </w:rPr>
        <w:t xml:space="preserve">обеззараживания питьевой воды на ОСБ и очистки и обеззараживания сточных вод на КОС </w:t>
      </w:r>
      <w:r w:rsidRPr="00BC5FE6">
        <w:rPr>
          <w:rFonts w:ascii="Times New Roman" w:eastAsia="Times New Roman" w:hAnsi="Times New Roman"/>
          <w:spacing w:val="-11"/>
        </w:rPr>
        <w:t xml:space="preserve">составлены организацией на основании Справочника базовых цен на проектные работы для </w:t>
      </w:r>
      <w:r w:rsidRPr="00BC5FE6">
        <w:rPr>
          <w:rFonts w:ascii="Times New Roman" w:eastAsia="Times New Roman" w:hAnsi="Times New Roman"/>
          <w:spacing w:val="-8"/>
        </w:rPr>
        <w:t>строительства.</w:t>
      </w:r>
      <w:proofErr w:type="gramEnd"/>
      <w:r w:rsidRPr="00BC5FE6">
        <w:rPr>
          <w:rFonts w:ascii="Times New Roman" w:eastAsia="Times New Roman" w:hAnsi="Times New Roman"/>
          <w:spacing w:val="-8"/>
        </w:rPr>
        <w:t xml:space="preserve"> Объекты водопровода и канализации, введенного в действие с 15 мая 2004 </w:t>
      </w:r>
      <w:r w:rsidRPr="00BC5FE6">
        <w:rPr>
          <w:rFonts w:ascii="Times New Roman" w:eastAsia="Times New Roman" w:hAnsi="Times New Roman"/>
        </w:rPr>
        <w:t xml:space="preserve">года (письмо </w:t>
      </w:r>
      <w:proofErr w:type="spellStart"/>
      <w:r w:rsidRPr="00BC5FE6">
        <w:rPr>
          <w:rFonts w:ascii="Times New Roman" w:eastAsia="Times New Roman" w:hAnsi="Times New Roman"/>
        </w:rPr>
        <w:t>Росстроя</w:t>
      </w:r>
      <w:proofErr w:type="spellEnd"/>
      <w:r w:rsidRPr="00BC5FE6">
        <w:rPr>
          <w:rFonts w:ascii="Times New Roman" w:eastAsia="Times New Roman" w:hAnsi="Times New Roman"/>
        </w:rPr>
        <w:t xml:space="preserve"> от 07.05.2004 г. № АП-2642/10).</w:t>
      </w:r>
    </w:p>
    <w:p w:rsidR="00AD3F05" w:rsidRPr="00BC5FE6" w:rsidRDefault="00AD3F05" w:rsidP="00AD3F05">
      <w:pPr>
        <w:shd w:val="clear" w:color="auto" w:fill="FFFFFF"/>
        <w:spacing w:line="274" w:lineRule="exact"/>
        <w:ind w:right="14" w:firstLine="528"/>
        <w:jc w:val="both"/>
      </w:pPr>
      <w:r w:rsidRPr="00BC5FE6">
        <w:rPr>
          <w:rFonts w:ascii="Times New Roman" w:eastAsia="Times New Roman" w:hAnsi="Times New Roman"/>
          <w:spacing w:val="-12"/>
        </w:rPr>
        <w:t xml:space="preserve">Стоимость приобретения оборудования определена организацией на основании технико-коммерческого предложения ООО «Промышленные системы </w:t>
      </w:r>
      <w:proofErr w:type="gramStart"/>
      <w:r w:rsidRPr="00BC5FE6">
        <w:rPr>
          <w:rFonts w:ascii="Times New Roman" w:eastAsia="Times New Roman" w:hAnsi="Times New Roman"/>
          <w:spacing w:val="-12"/>
        </w:rPr>
        <w:t>УФ-обеззараживания</w:t>
      </w:r>
      <w:proofErr w:type="gramEnd"/>
      <w:r w:rsidRPr="00BC5FE6">
        <w:rPr>
          <w:rFonts w:ascii="Times New Roman" w:eastAsia="Times New Roman" w:hAnsi="Times New Roman"/>
          <w:spacing w:val="-12"/>
        </w:rPr>
        <w:t>» и прайс-</w:t>
      </w:r>
      <w:r w:rsidRPr="00BC5FE6">
        <w:rPr>
          <w:rFonts w:ascii="Times New Roman" w:eastAsia="Times New Roman" w:hAnsi="Times New Roman"/>
        </w:rPr>
        <w:t xml:space="preserve">листа «Лаборатории ЛЭТ </w:t>
      </w:r>
      <w:proofErr w:type="spellStart"/>
      <w:r w:rsidRPr="00BC5FE6">
        <w:rPr>
          <w:rFonts w:ascii="Times New Roman" w:eastAsia="Times New Roman" w:hAnsi="Times New Roman"/>
        </w:rPr>
        <w:t>электротехнологии</w:t>
      </w:r>
      <w:proofErr w:type="spellEnd"/>
      <w:r w:rsidRPr="00BC5FE6">
        <w:rPr>
          <w:rFonts w:ascii="Times New Roman" w:eastAsia="Times New Roman" w:hAnsi="Times New Roman"/>
        </w:rPr>
        <w:t>».</w:t>
      </w:r>
    </w:p>
    <w:p w:rsidR="00AD3F05" w:rsidRPr="00BC5FE6" w:rsidRDefault="00AD3F05" w:rsidP="00AD3F05">
      <w:pPr>
        <w:shd w:val="clear" w:color="auto" w:fill="FFFFFF"/>
        <w:spacing w:line="274" w:lineRule="exact"/>
        <w:ind w:right="14" w:firstLine="528"/>
        <w:jc w:val="both"/>
      </w:pPr>
    </w:p>
    <w:p w:rsidR="00AD3F05" w:rsidRPr="00BC5FE6" w:rsidRDefault="00AD3F05" w:rsidP="00AD3F05">
      <w:pPr>
        <w:numPr>
          <w:ilvl w:val="0"/>
          <w:numId w:val="2"/>
        </w:numPr>
        <w:jc w:val="center"/>
        <w:rPr>
          <w:b/>
        </w:rPr>
      </w:pPr>
      <w:r w:rsidRPr="00BC5FE6">
        <w:rPr>
          <w:b/>
        </w:rPr>
        <w:t>Пояснительная записка к плану технических мероприятий, направленных на улучшение качества очистки обеззараживания питьевой воды и сточных вод.</w:t>
      </w:r>
    </w:p>
    <w:p w:rsidR="00AD3F05" w:rsidRPr="00BC5FE6" w:rsidRDefault="00AD3F05" w:rsidP="00AD3F05">
      <w:pPr>
        <w:jc w:val="both"/>
        <w:rPr>
          <w:i/>
        </w:rPr>
      </w:pPr>
      <w:r w:rsidRPr="00BC5FE6">
        <w:t>(</w:t>
      </w:r>
      <w:r w:rsidRPr="00BC5FE6">
        <w:rPr>
          <w:i/>
        </w:rPr>
        <w:t>в редакции Решения Собрания депутатов МО «Котлас» от «18» февраля 2010 г. №89-186-р)</w:t>
      </w:r>
    </w:p>
    <w:p w:rsidR="00AD3F05" w:rsidRPr="00BC5FE6" w:rsidRDefault="00AD3F05" w:rsidP="00AD3F05">
      <w:pPr>
        <w:shd w:val="clear" w:color="auto" w:fill="FFFFFF"/>
        <w:spacing w:line="274" w:lineRule="exact"/>
        <w:ind w:right="14" w:firstLine="528"/>
        <w:jc w:val="both"/>
      </w:pPr>
    </w:p>
    <w:p w:rsidR="00AD3F05" w:rsidRPr="00BC5FE6" w:rsidRDefault="00AD3F05" w:rsidP="00AD3F05"/>
    <w:p w:rsidR="00AD3F05" w:rsidRPr="00BC5FE6" w:rsidRDefault="00AD3F05" w:rsidP="00AD3F05">
      <w:pPr>
        <w:numPr>
          <w:ilvl w:val="0"/>
          <w:numId w:val="1"/>
        </w:numPr>
        <w:tabs>
          <w:tab w:val="clear" w:pos="810"/>
          <w:tab w:val="num" w:pos="855"/>
        </w:tabs>
        <w:ind w:left="0" w:firstLine="360"/>
        <w:jc w:val="both"/>
      </w:pPr>
      <w:r w:rsidRPr="00BC5FE6">
        <w:t xml:space="preserve">Разработка проектно-сметной документации на реконструкцию системы очистки и обеззараживания питьевой и сточных вод на объектах предприятия с переходом на ультрафиолетовые и электрохимические установки для получения смеси </w:t>
      </w:r>
      <w:proofErr w:type="spellStart"/>
      <w:r w:rsidRPr="00BC5FE6">
        <w:t>оксидантов</w:t>
      </w:r>
      <w:proofErr w:type="spellEnd"/>
      <w:r w:rsidRPr="00BC5FE6">
        <w:t>. Срок – 2010 год.</w:t>
      </w:r>
    </w:p>
    <w:p w:rsidR="00AD3F05" w:rsidRPr="00BC5FE6" w:rsidRDefault="00AD3F05" w:rsidP="00AD3F05">
      <w:pPr>
        <w:numPr>
          <w:ilvl w:val="0"/>
          <w:numId w:val="1"/>
        </w:numPr>
        <w:tabs>
          <w:tab w:val="clear" w:pos="810"/>
          <w:tab w:val="num" w:pos="855"/>
        </w:tabs>
        <w:ind w:left="0" w:firstLine="360"/>
        <w:jc w:val="both"/>
      </w:pPr>
      <w:r w:rsidRPr="00BC5FE6">
        <w:t xml:space="preserve">Выполнение работ по реконструкции системы очистки и обеззараживания питьевой воды на городских очистных сооружениях водопровода с переходом на ультрафиолетовые (1 ступень) и электрохимические установки для получения смеси </w:t>
      </w:r>
      <w:proofErr w:type="spellStart"/>
      <w:r w:rsidRPr="00BC5FE6">
        <w:t>оксидантов</w:t>
      </w:r>
      <w:proofErr w:type="spellEnd"/>
      <w:r w:rsidRPr="00BC5FE6">
        <w:t xml:space="preserve"> (2 ступень очистки и обеззараживания). Срок ввода в эксплуатацию – 2012 год.</w:t>
      </w:r>
    </w:p>
    <w:p w:rsidR="00AD3F05" w:rsidRPr="00BC5FE6" w:rsidRDefault="00AD3F05" w:rsidP="00AD3F05">
      <w:r w:rsidRPr="00BC5FE6">
        <w:t xml:space="preserve">            Реализация </w:t>
      </w:r>
      <w:r w:rsidRPr="00BC5FE6">
        <w:rPr>
          <w:lang w:val="en-US"/>
        </w:rPr>
        <w:t>I</w:t>
      </w:r>
      <w:r w:rsidRPr="00BC5FE6">
        <w:t xml:space="preserve"> этапа инвестиционной программы  в 2010 году, а именно разработка ПСД позволит привлечь средства федерального и </w:t>
      </w:r>
      <w:proofErr w:type="spellStart"/>
      <w:r w:rsidRPr="00BC5FE6">
        <w:t>обласного</w:t>
      </w:r>
      <w:proofErr w:type="spellEnd"/>
      <w:r w:rsidRPr="00BC5FE6">
        <w:t xml:space="preserve"> бюджетов для выполнения в полном объёме строительно-монтажных работ.</w:t>
      </w:r>
    </w:p>
    <w:p w:rsidR="00AD3F05" w:rsidRPr="00BC5FE6" w:rsidRDefault="00AD3F05" w:rsidP="00AD3F05">
      <w:pPr>
        <w:numPr>
          <w:ilvl w:val="0"/>
          <w:numId w:val="2"/>
        </w:numPr>
        <w:jc w:val="center"/>
        <w:rPr>
          <w:b/>
        </w:rPr>
      </w:pPr>
      <w:r w:rsidRPr="00BC5FE6">
        <w:rPr>
          <w:b/>
        </w:rPr>
        <w:t xml:space="preserve">Расчет эффективности инвестиционной программы, </w:t>
      </w:r>
    </w:p>
    <w:p w:rsidR="00AD3F05" w:rsidRPr="00BC5FE6" w:rsidRDefault="00AD3F05" w:rsidP="00AD3F05">
      <w:pPr>
        <w:jc w:val="center"/>
        <w:rPr>
          <w:b/>
        </w:rPr>
      </w:pPr>
      <w:r w:rsidRPr="00BC5FE6">
        <w:rPr>
          <w:b/>
        </w:rPr>
        <w:t>оценка результатов реализации программы.</w:t>
      </w:r>
    </w:p>
    <w:p w:rsidR="00AD3F05" w:rsidRPr="00BC5FE6" w:rsidRDefault="00AD3F05" w:rsidP="00AD3F05">
      <w:pPr>
        <w:ind w:firstLine="708"/>
        <w:jc w:val="both"/>
      </w:pPr>
      <w:r w:rsidRPr="00BC5FE6">
        <w:t>Предприятие работает на привозном сырье: сжиженном газообразном хлоре и гипохлорите натрия. Эксплуатирует два опасных производственных объекта (</w:t>
      </w:r>
      <w:proofErr w:type="spellStart"/>
      <w:r w:rsidRPr="00BC5FE6">
        <w:t>хлораторные</w:t>
      </w:r>
      <w:proofErr w:type="spellEnd"/>
      <w:r w:rsidRPr="00BC5FE6">
        <w:t xml:space="preserve"> со складами хранения хлора) и не имеет собственных оборудованных площадок для разгрузки баллонов с хлором. </w:t>
      </w:r>
    </w:p>
    <w:p w:rsidR="00AD3F05" w:rsidRPr="00BC5FE6" w:rsidRDefault="00AD3F05" w:rsidP="00AD3F05">
      <w:pPr>
        <w:ind w:firstLine="708"/>
        <w:jc w:val="both"/>
      </w:pPr>
      <w:r w:rsidRPr="00BC5FE6">
        <w:t xml:space="preserve">На сегодняшний день возросли требования, предъявляемые к ОПО, оборудование </w:t>
      </w:r>
      <w:proofErr w:type="spellStart"/>
      <w:r w:rsidRPr="00BC5FE6">
        <w:t>хлораторных</w:t>
      </w:r>
      <w:proofErr w:type="spellEnd"/>
      <w:r w:rsidRPr="00BC5FE6">
        <w:t xml:space="preserve"> и складов хранения хлора морально устарело. Их реконструкция и приведение в соответствие с требованиями надзорных органов оценивается ориентировочно в 4 </w:t>
      </w:r>
      <w:proofErr w:type="spellStart"/>
      <w:r w:rsidRPr="00BC5FE6">
        <w:t>млн</w:t>
      </w:r>
      <w:proofErr w:type="gramStart"/>
      <w:r w:rsidRPr="00BC5FE6">
        <w:t>.р</w:t>
      </w:r>
      <w:proofErr w:type="gramEnd"/>
      <w:r w:rsidRPr="00BC5FE6">
        <w:t>ублей</w:t>
      </w:r>
      <w:proofErr w:type="spellEnd"/>
      <w:r w:rsidRPr="00BC5FE6">
        <w:t xml:space="preserve">. Кроме того, приведение хлорного хозяйства, в том числе оборудование разгрузочно-погрузочных площадок, замена хлор-дозирующего оборудования, систем безопасности, подготовка аварийно-спасательных формирований, в соответствие действующим нормам соизмеримо по затратам с приобретением </w:t>
      </w:r>
      <w:proofErr w:type="gramStart"/>
      <w:r w:rsidRPr="00BC5FE6">
        <w:t>УФ-установок</w:t>
      </w:r>
      <w:proofErr w:type="gramEnd"/>
      <w:r w:rsidRPr="00BC5FE6">
        <w:t xml:space="preserve">  и электрохимических установок для получения смеси </w:t>
      </w:r>
      <w:proofErr w:type="spellStart"/>
      <w:r w:rsidRPr="00BC5FE6">
        <w:t>оксидантов</w:t>
      </w:r>
      <w:proofErr w:type="spellEnd"/>
      <w:r w:rsidRPr="00BC5FE6">
        <w:t xml:space="preserve"> в целях  обеззараживания. В условиях  возрастающих потребностей в питьевой воде города на фоне прогрессирующей тенденции снижения качества воды в источнике водоснабжения, возрастании её </w:t>
      </w:r>
      <w:proofErr w:type="spellStart"/>
      <w:r w:rsidRPr="00BC5FE6">
        <w:t>хлоропоглощаемости</w:t>
      </w:r>
      <w:proofErr w:type="spellEnd"/>
      <w:r w:rsidRPr="00BC5FE6">
        <w:t xml:space="preserve"> в процессе очистки, актуален вопрос об увеличении объёмов поставки хлора. Существующие склады хранения  не соответствуют предъявляемым требованиям к расходным складам по объёмам хранения газообразного хлора, поэтому встает вопрос о строительстве кустовых складов, что потребует изыскания дополнительных средств на изыскание, строительство и </w:t>
      </w:r>
      <w:proofErr w:type="gramStart"/>
      <w:r w:rsidRPr="00BC5FE6">
        <w:t>оборудование</w:t>
      </w:r>
      <w:proofErr w:type="gramEnd"/>
      <w:r w:rsidRPr="00BC5FE6">
        <w:t xml:space="preserve"> и обустройство, организацию транспортных схем.</w:t>
      </w:r>
    </w:p>
    <w:p w:rsidR="00AD3F05" w:rsidRPr="00BC5FE6" w:rsidRDefault="00AD3F05" w:rsidP="00AD3F05">
      <w:pPr>
        <w:ind w:firstLine="708"/>
        <w:jc w:val="both"/>
      </w:pPr>
      <w:r w:rsidRPr="00BC5FE6">
        <w:t>Предлагаемая компоновка системы обеззараживания позволит:</w:t>
      </w:r>
    </w:p>
    <w:p w:rsidR="00AD3F05" w:rsidRPr="00BC5FE6" w:rsidRDefault="00AD3F05" w:rsidP="00AD3F05">
      <w:pPr>
        <w:jc w:val="both"/>
      </w:pPr>
      <w:r w:rsidRPr="00BC5FE6">
        <w:t xml:space="preserve"> 1. Отказаться от потенциально-опасного производства с применением   газообразного хлора, его расширения в будущем и значительных затрат сегодня на его модернизацию и приведения в соответствие с требованиями Законодательства РФ.</w:t>
      </w:r>
    </w:p>
    <w:p w:rsidR="00AD3F05" w:rsidRPr="00BC5FE6" w:rsidRDefault="00AD3F05" w:rsidP="00AD3F05">
      <w:pPr>
        <w:jc w:val="both"/>
      </w:pPr>
      <w:r w:rsidRPr="00BC5FE6">
        <w:t xml:space="preserve">2. Предлагаемые технические решения  не только успешно заменяют, но и превосходят по качеству обеззараживания воды традиционным способом при помощи сжиженного хлора. Предполагаемая к применению </w:t>
      </w:r>
      <w:proofErr w:type="gramStart"/>
      <w:r w:rsidRPr="00BC5FE6">
        <w:t>комплексе</w:t>
      </w:r>
      <w:proofErr w:type="gramEnd"/>
      <w:r w:rsidRPr="00BC5FE6">
        <w:t xml:space="preserve"> с УФ-установками </w:t>
      </w:r>
      <w:proofErr w:type="spellStart"/>
      <w:r w:rsidRPr="00BC5FE6">
        <w:rPr>
          <w:rStyle w:val="a7"/>
        </w:rPr>
        <w:t>электрохимически</w:t>
      </w:r>
      <w:proofErr w:type="spellEnd"/>
      <w:r w:rsidRPr="00BC5FE6">
        <w:rPr>
          <w:rStyle w:val="a7"/>
        </w:rPr>
        <w:t xml:space="preserve"> активированная смесь </w:t>
      </w:r>
      <w:proofErr w:type="spellStart"/>
      <w:r w:rsidRPr="00BC5FE6">
        <w:rPr>
          <w:rStyle w:val="a7"/>
        </w:rPr>
        <w:t>оксидантов</w:t>
      </w:r>
      <w:r w:rsidRPr="00BC5FE6">
        <w:t>не</w:t>
      </w:r>
      <w:proofErr w:type="spellEnd"/>
      <w:r w:rsidRPr="00BC5FE6">
        <w:t xml:space="preserve"> образует </w:t>
      </w:r>
      <w:r w:rsidRPr="00BC5FE6">
        <w:lastRenderedPageBreak/>
        <w:t xml:space="preserve">побочных продуктов хлорирования, способствует удалению из воды железа, мутности, разрушает фенолы – источник неприятного вкуса и запаха, обеспечивает абсолютную безвредность для организма человека. </w:t>
      </w:r>
    </w:p>
    <w:p w:rsidR="00AD3F05" w:rsidRPr="00BC5FE6" w:rsidRDefault="00AD3F05" w:rsidP="00AD3F05">
      <w:r w:rsidRPr="00BC5FE6">
        <w:t xml:space="preserve">Кроме того, использование раствора смеси </w:t>
      </w:r>
      <w:proofErr w:type="spellStart"/>
      <w:r w:rsidRPr="00BC5FE6">
        <w:t>оксидантов</w:t>
      </w:r>
      <w:proofErr w:type="spellEnd"/>
      <w:r w:rsidRPr="00BC5FE6">
        <w:t xml:space="preserve"> уменьшает скорость коррозии водоводов, а по сравнению с другими обеззараживающими средствами стоимость раствора смеси </w:t>
      </w:r>
      <w:proofErr w:type="spellStart"/>
      <w:r w:rsidRPr="00BC5FE6">
        <w:t>оксидантов</w:t>
      </w:r>
      <w:proofErr w:type="spellEnd"/>
      <w:r w:rsidRPr="00BC5FE6">
        <w:t xml:space="preserve"> - показатель экономичности и быстрой окупаемости</w:t>
      </w:r>
    </w:p>
    <w:p w:rsidR="00AD3F05" w:rsidRPr="00BC5FE6" w:rsidRDefault="00AD3F05" w:rsidP="00AD3F05">
      <w:pPr>
        <w:jc w:val="both"/>
      </w:pPr>
      <w:r w:rsidRPr="00BC5FE6">
        <w:t xml:space="preserve">         Значительно снизить себестоимость очистки питьевой и сточных вод (транспортные, эксплуатационные расходы). </w:t>
      </w:r>
    </w:p>
    <w:p w:rsidR="00AD3F05" w:rsidRPr="00BC5FE6" w:rsidRDefault="00AD3F05" w:rsidP="00AD3F05">
      <w:pPr>
        <w:jc w:val="both"/>
      </w:pPr>
      <w:r w:rsidRPr="00BC5FE6">
        <w:t xml:space="preserve">        В настоящее время потребность предприятия в жидком хлоре достигает до 450 кг/сутки. Потребность в растворе гипохлорита натрия составляет до 3 м</w:t>
      </w:r>
      <w:r w:rsidRPr="00BC5FE6">
        <w:rPr>
          <w:vertAlign w:val="superscript"/>
        </w:rPr>
        <w:t>3</w:t>
      </w:r>
      <w:r w:rsidRPr="00BC5FE6">
        <w:t>/сутки. Удельный финансовый расход на приобретение, транспортировку хлора, гипохлорита натрия составляют в среднем 50 руб./</w:t>
      </w:r>
      <w:proofErr w:type="gramStart"/>
      <w:r w:rsidRPr="00BC5FE6">
        <w:t>кг</w:t>
      </w:r>
      <w:proofErr w:type="gramEnd"/>
      <w:r w:rsidRPr="00BC5FE6">
        <w:t xml:space="preserve"> хлора. Переход на предлагаемую систему очистки и обеззараживания позволит снизить затраты на обеззараживание в пересчете на чистый хлор до 35 руб./</w:t>
      </w:r>
      <w:proofErr w:type="gramStart"/>
      <w:r w:rsidRPr="00BC5FE6">
        <w:t>кг</w:t>
      </w:r>
      <w:proofErr w:type="gramEnd"/>
      <w:r w:rsidRPr="00BC5FE6">
        <w:t xml:space="preserve"> хлора.</w:t>
      </w:r>
    </w:p>
    <w:p w:rsidR="00AD3F05" w:rsidRPr="00BC5FE6" w:rsidRDefault="00AD3F05" w:rsidP="00AD3F05">
      <w:pPr>
        <w:jc w:val="both"/>
      </w:pPr>
      <w:r w:rsidRPr="00BC5FE6">
        <w:t xml:space="preserve">Годовой экономический эффект от внедрения УФ-установок и электрохимических установок для получения смеси </w:t>
      </w:r>
      <w:proofErr w:type="spellStart"/>
      <w:r w:rsidRPr="00BC5FE6">
        <w:t>оксидантов</w:t>
      </w:r>
      <w:proofErr w:type="spellEnd"/>
      <w:r w:rsidRPr="00BC5FE6">
        <w:t xml:space="preserve"> оценивается приблизительно в 2 400 </w:t>
      </w:r>
      <w:proofErr w:type="spellStart"/>
      <w:r w:rsidRPr="00BC5FE6">
        <w:t>тыс</w:t>
      </w:r>
      <w:proofErr w:type="gramStart"/>
      <w:r w:rsidRPr="00BC5FE6">
        <w:t>.р</w:t>
      </w:r>
      <w:proofErr w:type="gramEnd"/>
      <w:r w:rsidRPr="00BC5FE6">
        <w:t>уб</w:t>
      </w:r>
      <w:proofErr w:type="spellEnd"/>
      <w:r w:rsidRPr="00BC5FE6">
        <w:t>.</w:t>
      </w:r>
    </w:p>
    <w:p w:rsidR="00AD3F05" w:rsidRPr="00BC5FE6" w:rsidRDefault="00AD3F05" w:rsidP="00AD3F05">
      <w:pPr>
        <w:jc w:val="both"/>
      </w:pPr>
    </w:p>
    <w:p w:rsidR="000F53D1" w:rsidRDefault="000F53D1"/>
    <w:sectPr w:rsidR="000F53D1" w:rsidSect="00AD3F05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70B"/>
    <w:multiLevelType w:val="hybridMultilevel"/>
    <w:tmpl w:val="B75E1D8E"/>
    <w:lvl w:ilvl="0" w:tplc="9E0800B6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D526081"/>
    <w:multiLevelType w:val="hybridMultilevel"/>
    <w:tmpl w:val="72709408"/>
    <w:lvl w:ilvl="0" w:tplc="7C66F9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874B39"/>
    <w:multiLevelType w:val="hybridMultilevel"/>
    <w:tmpl w:val="573047CA"/>
    <w:lvl w:ilvl="0" w:tplc="BEB493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05"/>
    <w:rsid w:val="000F53D1"/>
    <w:rsid w:val="00154933"/>
    <w:rsid w:val="00AD3F05"/>
    <w:rsid w:val="00F2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D3F05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3F05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AD3F0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D3F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AD3F05"/>
    <w:rPr>
      <w:b/>
      <w:bCs/>
    </w:rPr>
  </w:style>
  <w:style w:type="paragraph" w:styleId="a8">
    <w:name w:val="List Paragraph"/>
    <w:basedOn w:val="a"/>
    <w:uiPriority w:val="34"/>
    <w:qFormat/>
    <w:rsid w:val="00AD3F05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D3F05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3F05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AD3F0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D3F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AD3F05"/>
    <w:rPr>
      <w:b/>
      <w:bCs/>
    </w:rPr>
  </w:style>
  <w:style w:type="paragraph" w:styleId="a8">
    <w:name w:val="List Paragraph"/>
    <w:basedOn w:val="a"/>
    <w:uiPriority w:val="34"/>
    <w:qFormat/>
    <w:rsid w:val="00AD3F0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2013-07-23T09:16:00Z</dcterms:created>
  <dcterms:modified xsi:type="dcterms:W3CDTF">2013-07-23T09:18:00Z</dcterms:modified>
</cp:coreProperties>
</file>